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11A" w:rsidRPr="000A211A" w:rsidRDefault="000A211A" w:rsidP="000A211A">
      <w:pPr>
        <w:rPr>
          <w:rFonts w:cs="Arial"/>
          <w:b/>
          <w:color w:val="17365D"/>
          <w:sz w:val="24"/>
        </w:rPr>
      </w:pPr>
      <w:r w:rsidRPr="000A211A">
        <w:rPr>
          <w:rFonts w:cs="Arial"/>
          <w:b/>
          <w:color w:val="17365D"/>
          <w:sz w:val="24"/>
        </w:rPr>
        <w:t>DEFICIÊNCIA DE MICRONUTRIENTES NO BRASIL: EVIDÊNCIAS ATUAIS</w:t>
      </w:r>
    </w:p>
    <w:p w:rsidR="000A211A" w:rsidRDefault="000A211A" w:rsidP="000A211A">
      <w:pPr>
        <w:rPr>
          <w:rFonts w:cs="Arial"/>
          <w:b/>
          <w:color w:val="17365D"/>
          <w:sz w:val="24"/>
          <w:u w:val="single"/>
        </w:rPr>
      </w:pPr>
    </w:p>
    <w:p w:rsidR="000A211A" w:rsidRPr="003E2949" w:rsidRDefault="000A211A" w:rsidP="000A211A">
      <w:pPr>
        <w:rPr>
          <w:rFonts w:cs="Arial"/>
          <w:b/>
          <w:color w:val="17365D"/>
          <w:sz w:val="24"/>
          <w:u w:val="single"/>
        </w:rPr>
      </w:pPr>
      <w:r>
        <w:rPr>
          <w:rFonts w:cs="Arial"/>
          <w:b/>
          <w:noProof/>
          <w:color w:val="17365D"/>
          <w:sz w:val="24"/>
          <w:u w:val="single"/>
          <w:lang w:eastAsia="pt-BR"/>
        </w:rPr>
        <w:drawing>
          <wp:inline distT="0" distB="0" distL="0" distR="0">
            <wp:extent cx="3117215" cy="2075180"/>
            <wp:effectExtent l="0" t="0" r="6985" b="127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215" cy="2075180"/>
                    </a:xfrm>
                    <a:prstGeom prst="rect">
                      <a:avLst/>
                    </a:prstGeom>
                    <a:noFill/>
                    <a:ln>
                      <a:noFill/>
                    </a:ln>
                  </pic:spPr>
                </pic:pic>
              </a:graphicData>
            </a:graphic>
          </wp:inline>
        </w:drawing>
      </w:r>
    </w:p>
    <w:p w:rsidR="000A211A" w:rsidRPr="003E2949" w:rsidRDefault="000A211A" w:rsidP="000A211A">
      <w:pPr>
        <w:rPr>
          <w:rFonts w:cs="Arial"/>
          <w:color w:val="17365D"/>
          <w:sz w:val="24"/>
          <w:u w:val="single"/>
        </w:rPr>
      </w:pPr>
    </w:p>
    <w:p w:rsidR="000A211A" w:rsidRPr="00735C45" w:rsidRDefault="000A211A" w:rsidP="000A211A">
      <w:pPr>
        <w:pStyle w:val="Recuodecorpodetexto3"/>
        <w:spacing w:line="276" w:lineRule="auto"/>
        <w:jc w:val="both"/>
        <w:rPr>
          <w:rFonts w:eastAsia="Calibri" w:cs="Arial"/>
          <w:sz w:val="24"/>
          <w:szCs w:val="24"/>
          <w:lang w:eastAsia="en-US"/>
        </w:rPr>
      </w:pPr>
      <w:r w:rsidRPr="00735C45">
        <w:rPr>
          <w:rFonts w:cs="Arial"/>
          <w:sz w:val="24"/>
          <w:szCs w:val="24"/>
        </w:rPr>
        <w:tab/>
        <w:t>A deficiência de micronutrientes afeta cerca de um terço da população mundial e está fortemente relacionada à carência de ferro, iodo e vitamina A. Entretanto, d</w:t>
      </w:r>
      <w:r w:rsidRPr="00735C45">
        <w:rPr>
          <w:rFonts w:eastAsia="Calibri" w:cs="Arial"/>
          <w:sz w:val="24"/>
          <w:szCs w:val="24"/>
          <w:lang w:eastAsia="en-US"/>
        </w:rPr>
        <w:t>esde o final da última década, outros componentes passaram a ter destaque no âmbito da saúde pública, incluindo vitamina D, zinco e ácido fólico</w:t>
      </w:r>
      <w:r w:rsidRPr="000A211A">
        <w:rPr>
          <w:rFonts w:eastAsia="Calibri" w:cs="Arial"/>
          <w:sz w:val="24"/>
          <w:szCs w:val="24"/>
          <w:vertAlign w:val="superscript"/>
          <w:lang w:eastAsia="en-US"/>
        </w:rPr>
        <w:t>[1]</w:t>
      </w:r>
      <w:r w:rsidRPr="00735C45">
        <w:rPr>
          <w:rFonts w:eastAsia="Calibri" w:cs="Arial"/>
          <w:sz w:val="24"/>
          <w:szCs w:val="24"/>
          <w:lang w:eastAsia="en-US"/>
        </w:rPr>
        <w:t>.</w:t>
      </w:r>
    </w:p>
    <w:p w:rsidR="000A211A" w:rsidRPr="00735C45" w:rsidRDefault="000A211A" w:rsidP="000A211A">
      <w:pPr>
        <w:pStyle w:val="Recuodecorpodetexto3"/>
        <w:spacing w:line="276" w:lineRule="auto"/>
        <w:jc w:val="both"/>
        <w:rPr>
          <w:rFonts w:cs="Arial"/>
          <w:sz w:val="24"/>
          <w:szCs w:val="24"/>
          <w:lang w:eastAsia="pt-BR"/>
        </w:rPr>
      </w:pPr>
      <w:r w:rsidRPr="00735C45">
        <w:rPr>
          <w:rFonts w:eastAsia="Calibri" w:cs="Arial"/>
          <w:sz w:val="24"/>
          <w:szCs w:val="24"/>
          <w:lang w:eastAsia="en-US"/>
        </w:rPr>
        <w:tab/>
      </w:r>
      <w:r w:rsidRPr="00735C45">
        <w:rPr>
          <w:rFonts w:cs="Arial"/>
          <w:sz w:val="24"/>
          <w:szCs w:val="24"/>
        </w:rPr>
        <w:t xml:space="preserve">Os grupos que se encontram em situação mais vulnerável são as crianças menores de seis anos, gestantes, nutrizes e lactentes, pelo aumento das demandas nutricionais nestes momentos biológicos. </w:t>
      </w:r>
      <w:r w:rsidRPr="003E2949">
        <w:rPr>
          <w:rFonts w:cs="Arial"/>
          <w:color w:val="000000"/>
          <w:sz w:val="24"/>
          <w:szCs w:val="24"/>
        </w:rPr>
        <w:t>Apesar das deficiências serem marginais, elas prejudicam o desenvolvimento máximo do potencial humano.</w:t>
      </w:r>
      <w:r w:rsidRPr="00735C45">
        <w:rPr>
          <w:rFonts w:cs="Arial"/>
          <w:sz w:val="24"/>
          <w:szCs w:val="24"/>
        </w:rPr>
        <w:t xml:space="preserve"> De modo geral, o estado </w:t>
      </w:r>
      <w:proofErr w:type="spellStart"/>
      <w:r w:rsidRPr="00735C45">
        <w:rPr>
          <w:rFonts w:cs="Arial"/>
          <w:sz w:val="24"/>
          <w:szCs w:val="24"/>
        </w:rPr>
        <w:t>carencial</w:t>
      </w:r>
      <w:proofErr w:type="spellEnd"/>
      <w:r w:rsidRPr="00735C45">
        <w:rPr>
          <w:rFonts w:cs="Arial"/>
          <w:sz w:val="24"/>
          <w:szCs w:val="24"/>
        </w:rPr>
        <w:t xml:space="preserve"> entre as crianças resulta em retardo do crescimento, subdesenvolvimento físico e mental e aumento da mortalidade. Dentre os adultos, as maiores consequências são letargia, diminuição da capacidade física e reprodutiva, declínio da função cognitiva e debilidade imunológica</w:t>
      </w:r>
      <w:r w:rsidRPr="000A211A">
        <w:rPr>
          <w:rFonts w:cs="Arial"/>
          <w:sz w:val="24"/>
          <w:szCs w:val="24"/>
          <w:vertAlign w:val="superscript"/>
        </w:rPr>
        <w:t>[1,2]</w:t>
      </w:r>
      <w:r w:rsidRPr="00735C45">
        <w:rPr>
          <w:rFonts w:cs="Arial"/>
          <w:sz w:val="24"/>
          <w:szCs w:val="24"/>
        </w:rPr>
        <w:t xml:space="preserve">. </w:t>
      </w:r>
    </w:p>
    <w:p w:rsidR="000A211A" w:rsidRPr="00735C45" w:rsidRDefault="000A211A" w:rsidP="000A211A">
      <w:pPr>
        <w:pStyle w:val="Recuodecorpodetexto"/>
        <w:jc w:val="both"/>
        <w:rPr>
          <w:rFonts w:cs="Arial"/>
          <w:sz w:val="24"/>
        </w:rPr>
      </w:pPr>
      <w:r w:rsidRPr="00735C45">
        <w:rPr>
          <w:rFonts w:cs="Arial"/>
          <w:sz w:val="24"/>
        </w:rPr>
        <w:tab/>
        <w:t>Nesse sentido, fica claro concluir que a carência de micronutrientes é fator impeditivo para o desenvolvimento econômico e social de comunidades e grandes nações. Por outro lado, medidas de intervenção que visam o controle e a prevenção de déficits nutricionais podem reduzir tanto a morbidade como a mortalidade, além de promover desenvolvimento físico, neurológico e avanço intelectual</w:t>
      </w:r>
      <w:r w:rsidRPr="000A211A">
        <w:rPr>
          <w:rFonts w:cs="Arial"/>
          <w:sz w:val="24"/>
          <w:vertAlign w:val="superscript"/>
        </w:rPr>
        <w:t>[2,3]</w:t>
      </w:r>
      <w:r w:rsidRPr="00735C45">
        <w:rPr>
          <w:rFonts w:cs="Arial"/>
          <w:sz w:val="24"/>
        </w:rPr>
        <w:t xml:space="preserve">. </w:t>
      </w:r>
    </w:p>
    <w:p w:rsidR="000A211A" w:rsidRPr="00735C45" w:rsidRDefault="000A211A" w:rsidP="000A211A">
      <w:pPr>
        <w:pStyle w:val="Recuodecorpodetexto"/>
        <w:jc w:val="both"/>
        <w:rPr>
          <w:rFonts w:cs="Arial"/>
          <w:sz w:val="24"/>
        </w:rPr>
      </w:pPr>
      <w:r w:rsidRPr="00735C45">
        <w:rPr>
          <w:rFonts w:cs="Arial"/>
          <w:sz w:val="24"/>
        </w:rPr>
        <w:tab/>
        <w:t>Para tanto, a magnitude da deficiência de cada um dos micronutrientes precisa ser definida com o propósito de se estabelecer intervenções e políticas públicas apropriadas para as necessidades das diferentes populações</w:t>
      </w:r>
      <w:r w:rsidRPr="000A211A">
        <w:rPr>
          <w:rFonts w:cs="Arial"/>
          <w:sz w:val="24"/>
          <w:vertAlign w:val="superscript"/>
        </w:rPr>
        <w:t>[3]</w:t>
      </w:r>
      <w:r w:rsidRPr="00735C45">
        <w:rPr>
          <w:rFonts w:cs="Arial"/>
          <w:sz w:val="24"/>
        </w:rPr>
        <w:t xml:space="preserve">. </w:t>
      </w:r>
    </w:p>
    <w:p w:rsidR="000A211A" w:rsidRPr="00735C45" w:rsidRDefault="000A211A" w:rsidP="000A211A">
      <w:pPr>
        <w:pStyle w:val="Recuodecorpodetexto"/>
        <w:jc w:val="both"/>
        <w:rPr>
          <w:rFonts w:cs="Arial"/>
          <w:sz w:val="24"/>
        </w:rPr>
      </w:pPr>
    </w:p>
    <w:p w:rsidR="000A211A" w:rsidRPr="000A211A" w:rsidRDefault="000A211A" w:rsidP="000A211A">
      <w:pPr>
        <w:pStyle w:val="Recuodecorpodetexto"/>
        <w:jc w:val="both"/>
        <w:rPr>
          <w:rFonts w:cs="Arial"/>
          <w:b/>
          <w:color w:val="0070C0"/>
          <w:sz w:val="24"/>
        </w:rPr>
      </w:pPr>
      <w:r w:rsidRPr="000A211A">
        <w:rPr>
          <w:rFonts w:cs="Arial"/>
          <w:b/>
          <w:color w:val="0070C0"/>
          <w:sz w:val="24"/>
        </w:rPr>
        <w:t>Revisão sistemática: um retrato do panorama nacional</w:t>
      </w:r>
    </w:p>
    <w:p w:rsidR="000A211A" w:rsidRPr="003E2949" w:rsidRDefault="000A211A" w:rsidP="000A211A">
      <w:pPr>
        <w:pStyle w:val="Recuodecorpodetexto"/>
        <w:jc w:val="both"/>
        <w:rPr>
          <w:rFonts w:cs="Arial"/>
          <w:b/>
          <w:color w:val="17365D"/>
          <w:sz w:val="24"/>
          <w:u w:val="single"/>
        </w:rPr>
      </w:pPr>
    </w:p>
    <w:p w:rsidR="000A211A" w:rsidRPr="00735C45" w:rsidRDefault="000A211A" w:rsidP="000A211A">
      <w:pPr>
        <w:pStyle w:val="Recuodecorpodetexto"/>
        <w:jc w:val="both"/>
        <w:rPr>
          <w:rFonts w:cs="Arial"/>
          <w:sz w:val="24"/>
        </w:rPr>
      </w:pPr>
      <w:r w:rsidRPr="00735C45">
        <w:rPr>
          <w:rFonts w:cs="Arial"/>
          <w:sz w:val="24"/>
        </w:rPr>
        <w:tab/>
        <w:t xml:space="preserve">Com o objetivo de verificar a prevalência de deficiência de micronutrientes na América Latina e Caribe (LAC) desde o ano 2000, um grupo de pesquisadores do </w:t>
      </w:r>
      <w:r w:rsidRPr="00735C45">
        <w:rPr>
          <w:rFonts w:cs="Arial"/>
          <w:i/>
          <w:sz w:val="24"/>
        </w:rPr>
        <w:t xml:space="preserve">Instituto de </w:t>
      </w:r>
      <w:proofErr w:type="spellStart"/>
      <w:r w:rsidRPr="00735C45">
        <w:rPr>
          <w:rFonts w:cs="Arial"/>
          <w:i/>
          <w:sz w:val="24"/>
        </w:rPr>
        <w:t>Nutrición</w:t>
      </w:r>
      <w:proofErr w:type="spellEnd"/>
      <w:r w:rsidRPr="00735C45">
        <w:rPr>
          <w:rFonts w:cs="Arial"/>
          <w:i/>
          <w:sz w:val="24"/>
        </w:rPr>
        <w:t xml:space="preserve"> y </w:t>
      </w:r>
      <w:proofErr w:type="spellStart"/>
      <w:r w:rsidRPr="00735C45">
        <w:rPr>
          <w:rFonts w:cs="Arial"/>
          <w:i/>
          <w:sz w:val="24"/>
        </w:rPr>
        <w:t>Tecnología</w:t>
      </w:r>
      <w:proofErr w:type="spellEnd"/>
      <w:r w:rsidRPr="00735C45">
        <w:rPr>
          <w:rFonts w:cs="Arial"/>
          <w:i/>
          <w:sz w:val="24"/>
        </w:rPr>
        <w:t xml:space="preserve"> de Alimentos </w:t>
      </w:r>
      <w:r w:rsidRPr="00735C45">
        <w:rPr>
          <w:rFonts w:cs="Arial"/>
          <w:sz w:val="24"/>
        </w:rPr>
        <w:t>(INTA), da Universidade do Chile, conduziu uma revisão sistemática entre Julho de 2011 e Abril de 2012. Adicionalmente, o grupo examinou os dados disponíveis sobre deficiência de folato e vitamina B12 desde 1990</w:t>
      </w:r>
      <w:r w:rsidRPr="000A211A">
        <w:rPr>
          <w:rFonts w:cs="Arial"/>
          <w:sz w:val="24"/>
          <w:vertAlign w:val="superscript"/>
        </w:rPr>
        <w:t>[3]</w:t>
      </w:r>
      <w:r w:rsidRPr="00735C45">
        <w:rPr>
          <w:rFonts w:cs="Arial"/>
          <w:sz w:val="24"/>
        </w:rPr>
        <w:t>.</w:t>
      </w:r>
    </w:p>
    <w:p w:rsidR="000A211A" w:rsidRPr="00735C45" w:rsidRDefault="000A211A" w:rsidP="000A211A">
      <w:pPr>
        <w:pStyle w:val="Recuodecorpodetexto"/>
        <w:jc w:val="both"/>
        <w:rPr>
          <w:rFonts w:cs="Arial"/>
          <w:sz w:val="24"/>
        </w:rPr>
      </w:pPr>
      <w:r w:rsidRPr="00735C45">
        <w:rPr>
          <w:rFonts w:cs="Arial"/>
          <w:sz w:val="24"/>
        </w:rPr>
        <w:lastRenderedPageBreak/>
        <w:t xml:space="preserve">As bases de dados sobre deficiências de vitaminas e minerais da Organização Mundial da Saúde (OMS) e Nutrinet.org foram consultadas para acessar as últimas Pesquisas Nacionais de Saúde (PNS) de cada um dos países da região. As informações foram complementadas por meio de dados obtidos nos sítios eletrônicos dos Ministérios da Saúde e/ou Institutos Nacionais de Estatística. Além disso, foi realizada uma busca por artigos publicados nas bases </w:t>
      </w:r>
      <w:proofErr w:type="spellStart"/>
      <w:r w:rsidRPr="00735C45">
        <w:rPr>
          <w:rFonts w:cs="Arial"/>
          <w:sz w:val="24"/>
        </w:rPr>
        <w:t>Pubmed</w:t>
      </w:r>
      <w:proofErr w:type="spellEnd"/>
      <w:r w:rsidRPr="00735C45">
        <w:rPr>
          <w:rFonts w:cs="Arial"/>
          <w:sz w:val="24"/>
        </w:rPr>
        <w:t xml:space="preserve">, LILACS e </w:t>
      </w:r>
      <w:proofErr w:type="spellStart"/>
      <w:r w:rsidRPr="00735C45">
        <w:rPr>
          <w:rFonts w:cs="Arial"/>
          <w:sz w:val="24"/>
        </w:rPr>
        <w:t>SciELO</w:t>
      </w:r>
      <w:proofErr w:type="spellEnd"/>
      <w:r w:rsidRPr="00735C45">
        <w:rPr>
          <w:rFonts w:cs="Arial"/>
          <w:sz w:val="24"/>
        </w:rPr>
        <w:t xml:space="preserve">, onde combinações de cada um dos micronutrientes e nome de todos os países da LAC em espanhol, português e inglês foram inseridas como termos chaves. Inquéritos nutricionais também foram incluídos como indicadores da situação, mas apenas quando não existiam dados provenientes de biomarcadores bioquímicos.  </w:t>
      </w:r>
    </w:p>
    <w:p w:rsidR="000A211A" w:rsidRPr="00735C45" w:rsidRDefault="000A211A" w:rsidP="000A211A">
      <w:pPr>
        <w:pStyle w:val="Recuodecorpodetexto"/>
        <w:jc w:val="both"/>
        <w:rPr>
          <w:rFonts w:cs="Arial"/>
          <w:sz w:val="24"/>
        </w:rPr>
      </w:pPr>
      <w:r w:rsidRPr="00735C45">
        <w:rPr>
          <w:rFonts w:cs="Arial"/>
          <w:sz w:val="24"/>
        </w:rPr>
        <w:tab/>
        <w:t xml:space="preserve">Após aplicação dos critérios de exclusão, inclusão e eliminação de artigos duplicados, os pesquisadores obtiveram o total de 496 documentos, incluindo 25 PNS para toda a região estudada. Com relação ao Brasil, foram identificados 78 estudos e 1 PNS, realizada em 2006, que permitiram melhor compreensão da magnitude da deficiência de micronutrientes no país.  </w:t>
      </w:r>
    </w:p>
    <w:p w:rsidR="000A211A" w:rsidRPr="00735C45" w:rsidRDefault="000A211A" w:rsidP="000A211A">
      <w:pPr>
        <w:pStyle w:val="Recuodecorpodetexto"/>
        <w:jc w:val="both"/>
        <w:rPr>
          <w:rFonts w:cs="Arial"/>
          <w:sz w:val="24"/>
        </w:rPr>
      </w:pPr>
    </w:p>
    <w:p w:rsidR="000A211A" w:rsidRPr="000A211A" w:rsidRDefault="000A211A" w:rsidP="000A211A">
      <w:pPr>
        <w:pStyle w:val="Recuodecorpodetexto"/>
        <w:jc w:val="both"/>
        <w:rPr>
          <w:rFonts w:cs="Arial"/>
          <w:b/>
          <w:color w:val="0070C0"/>
          <w:sz w:val="24"/>
        </w:rPr>
      </w:pPr>
      <w:r w:rsidRPr="000A211A">
        <w:rPr>
          <w:rFonts w:cs="Arial"/>
          <w:b/>
          <w:color w:val="0070C0"/>
          <w:sz w:val="24"/>
        </w:rPr>
        <w:t>Resultados por micronutrientes</w:t>
      </w:r>
    </w:p>
    <w:p w:rsidR="000A211A" w:rsidRDefault="000A211A" w:rsidP="000A211A">
      <w:pPr>
        <w:pStyle w:val="Recuodecorpodetexto"/>
        <w:jc w:val="both"/>
        <w:rPr>
          <w:rFonts w:cs="Arial"/>
          <w:b/>
          <w:color w:val="17365D"/>
          <w:sz w:val="24"/>
          <w:u w:val="single"/>
        </w:rPr>
      </w:pPr>
    </w:p>
    <w:p w:rsidR="000A211A" w:rsidRDefault="000A211A" w:rsidP="000A211A">
      <w:pPr>
        <w:pStyle w:val="Recuodecorpodetexto"/>
        <w:jc w:val="both"/>
        <w:rPr>
          <w:rFonts w:cs="Arial"/>
          <w:b/>
          <w:color w:val="17365D"/>
          <w:sz w:val="24"/>
          <w:u w:val="single"/>
        </w:rPr>
      </w:pPr>
    </w:p>
    <w:p w:rsidR="000A211A" w:rsidRDefault="000A211A" w:rsidP="000A211A">
      <w:pPr>
        <w:pStyle w:val="Recuodecorpodetexto"/>
        <w:jc w:val="both"/>
        <w:rPr>
          <w:rFonts w:cs="Arial"/>
          <w:b/>
          <w:color w:val="17365D"/>
          <w:sz w:val="24"/>
          <w:u w:val="single"/>
        </w:rPr>
      </w:pPr>
    </w:p>
    <w:p w:rsidR="000A211A" w:rsidRPr="003E2949" w:rsidRDefault="000A211A" w:rsidP="000A211A">
      <w:pPr>
        <w:pStyle w:val="Body1"/>
        <w:spacing w:line="276" w:lineRule="auto"/>
        <w:jc w:val="center"/>
        <w:rPr>
          <w:rFonts w:ascii="Trebuchet MS" w:eastAsia="Calibri" w:hAnsi="Trebuchet MS" w:cs="Tahoma"/>
          <w:color w:val="403152"/>
          <w:szCs w:val="24"/>
          <w:lang w:eastAsia="en-US"/>
        </w:rPr>
      </w:pPr>
      <w:r w:rsidRPr="003E2949">
        <w:rPr>
          <w:rFonts w:ascii="Trebuchet MS" w:eastAsia="Calibri" w:hAnsi="Trebuchet MS" w:cs="Tahoma"/>
          <w:color w:val="403152"/>
          <w:szCs w:val="24"/>
          <w:lang w:eastAsia="en-US"/>
        </w:rPr>
        <w:t>VITAMINA C</w:t>
      </w:r>
    </w:p>
    <w:p w:rsidR="000A211A" w:rsidRPr="00735C45" w:rsidRDefault="000A211A" w:rsidP="000A211A">
      <w:pPr>
        <w:pStyle w:val="Body1"/>
        <w:spacing w:line="276" w:lineRule="auto"/>
        <w:jc w:val="both"/>
        <w:rPr>
          <w:rFonts w:ascii="Trebuchet MS" w:hAnsi="Trebuchet MS" w:cs="Arial"/>
          <w:szCs w:val="24"/>
        </w:rPr>
      </w:pPr>
      <w:r w:rsidRPr="00735C45">
        <w:rPr>
          <w:rFonts w:ascii="Trebuchet MS" w:hAnsi="Trebuchet MS" w:cs="Arial"/>
          <w:b/>
          <w:szCs w:val="24"/>
        </w:rPr>
        <w:tab/>
      </w:r>
      <w:r w:rsidRPr="00735C45">
        <w:rPr>
          <w:rFonts w:ascii="Trebuchet MS" w:hAnsi="Trebuchet MS" w:cs="Arial"/>
          <w:szCs w:val="24"/>
        </w:rPr>
        <w:t xml:space="preserve">Um estudo conduzido no Brasil com 117 gestantes apontou 31% de deficiência de vitamina C (&lt;0.65 </w:t>
      </w:r>
      <w:proofErr w:type="spellStart"/>
      <w:r w:rsidRPr="00735C45">
        <w:rPr>
          <w:rFonts w:ascii="Trebuchet MS" w:hAnsi="Trebuchet MS" w:cs="Arial"/>
          <w:szCs w:val="24"/>
        </w:rPr>
        <w:t>mg</w:t>
      </w:r>
      <w:proofErr w:type="spellEnd"/>
      <w:r w:rsidRPr="00735C45">
        <w:rPr>
          <w:rFonts w:ascii="Trebuchet MS" w:hAnsi="Trebuchet MS" w:cs="Arial"/>
          <w:szCs w:val="24"/>
        </w:rPr>
        <w:t>/dl). Outra investigação envolvendo gestantes mostrou deficiência de 40% entre aquelas que fumavam e 27% entre as que não faziam uso de tabaco</w:t>
      </w:r>
      <w:r w:rsidRPr="000A211A">
        <w:rPr>
          <w:rFonts w:ascii="Trebuchet MS" w:hAnsi="Trebuchet MS" w:cs="Arial"/>
          <w:szCs w:val="24"/>
          <w:vertAlign w:val="superscript"/>
        </w:rPr>
        <w:t>[3]</w:t>
      </w:r>
      <w:r w:rsidRPr="00735C45">
        <w:rPr>
          <w:rFonts w:ascii="Trebuchet MS" w:hAnsi="Trebuchet MS" w:cs="Arial"/>
          <w:szCs w:val="24"/>
        </w:rPr>
        <w:t xml:space="preserve">. </w:t>
      </w:r>
    </w:p>
    <w:p w:rsidR="000A211A" w:rsidRPr="00735C45" w:rsidRDefault="000A211A" w:rsidP="000A211A">
      <w:pPr>
        <w:pStyle w:val="Body1"/>
        <w:spacing w:line="276" w:lineRule="auto"/>
        <w:jc w:val="both"/>
        <w:rPr>
          <w:rFonts w:ascii="Trebuchet MS" w:hAnsi="Trebuchet MS" w:cs="Arial"/>
          <w:szCs w:val="24"/>
        </w:rPr>
      </w:pPr>
      <w:r w:rsidRPr="00735C45">
        <w:rPr>
          <w:rFonts w:ascii="Trebuchet MS" w:hAnsi="Trebuchet MS" w:cs="Arial"/>
          <w:szCs w:val="24"/>
        </w:rPr>
        <w:tab/>
        <w:t xml:space="preserve">O ácido ascórbico possui uma variedade de funções vitais, incluindo a </w:t>
      </w:r>
      <w:proofErr w:type="spellStart"/>
      <w:r w:rsidRPr="00735C45">
        <w:rPr>
          <w:rFonts w:ascii="Trebuchet MS" w:hAnsi="Trebuchet MS" w:cs="Arial"/>
          <w:szCs w:val="24"/>
        </w:rPr>
        <w:t>hidroxilação</w:t>
      </w:r>
      <w:proofErr w:type="spellEnd"/>
      <w:r w:rsidRPr="00735C45">
        <w:rPr>
          <w:rFonts w:ascii="Trebuchet MS" w:hAnsi="Trebuchet MS" w:cs="Arial"/>
          <w:szCs w:val="24"/>
        </w:rPr>
        <w:t xml:space="preserve"> do colágeno, síntese de neurotransmissores, absorção do ferro e proteção contra danos </w:t>
      </w:r>
      <w:proofErr w:type="spellStart"/>
      <w:r w:rsidRPr="00735C45">
        <w:rPr>
          <w:rFonts w:ascii="Trebuchet MS" w:hAnsi="Trebuchet MS" w:cs="Arial"/>
          <w:szCs w:val="24"/>
        </w:rPr>
        <w:t>oxidativos</w:t>
      </w:r>
      <w:proofErr w:type="spellEnd"/>
      <w:r w:rsidRPr="000A211A">
        <w:rPr>
          <w:rFonts w:ascii="Trebuchet MS" w:hAnsi="Trebuchet MS" w:cs="Arial"/>
          <w:szCs w:val="24"/>
          <w:vertAlign w:val="superscript"/>
        </w:rPr>
        <w:t>[3,4]</w:t>
      </w:r>
      <w:r w:rsidRPr="00735C45">
        <w:rPr>
          <w:rFonts w:ascii="Trebuchet MS" w:hAnsi="Trebuchet MS" w:cs="Arial"/>
          <w:szCs w:val="24"/>
        </w:rPr>
        <w:t>.</w:t>
      </w:r>
    </w:p>
    <w:p w:rsidR="000A211A" w:rsidRPr="00735C45" w:rsidRDefault="000A211A" w:rsidP="000A211A">
      <w:pPr>
        <w:pStyle w:val="Body1"/>
        <w:spacing w:line="276" w:lineRule="auto"/>
        <w:jc w:val="both"/>
        <w:rPr>
          <w:rFonts w:ascii="Trebuchet MS" w:hAnsi="Trebuchet MS" w:cs="Arial"/>
          <w:szCs w:val="24"/>
        </w:rPr>
      </w:pPr>
      <w:r w:rsidRPr="00735C45">
        <w:rPr>
          <w:rFonts w:ascii="Trebuchet MS" w:hAnsi="Trebuchet MS" w:cs="Arial"/>
          <w:szCs w:val="24"/>
        </w:rPr>
        <w:tab/>
        <w:t xml:space="preserve">Em 2012, uma pesquisa envolvendo 58 adultos obesos sugeriu 9% de deficiência de vitamina C (&lt;0.3 </w:t>
      </w:r>
      <w:proofErr w:type="spellStart"/>
      <w:r w:rsidRPr="00735C45">
        <w:rPr>
          <w:rFonts w:ascii="Trebuchet MS" w:hAnsi="Trebuchet MS" w:cs="Arial"/>
          <w:szCs w:val="24"/>
        </w:rPr>
        <w:t>mg</w:t>
      </w:r>
      <w:proofErr w:type="spellEnd"/>
      <w:r w:rsidRPr="00735C45">
        <w:rPr>
          <w:rFonts w:ascii="Trebuchet MS" w:hAnsi="Trebuchet MS" w:cs="Arial"/>
          <w:szCs w:val="24"/>
        </w:rPr>
        <w:t>/dl). Os estudos mencionados devem ser interpretados apenas individualmente, já que não existem dados representativos sobre o nível de vitamina C para subgrupos populacionais no Brasil</w:t>
      </w:r>
      <w:r w:rsidRPr="000A211A">
        <w:rPr>
          <w:rFonts w:ascii="Trebuchet MS" w:hAnsi="Trebuchet MS" w:cs="Arial"/>
          <w:szCs w:val="24"/>
          <w:vertAlign w:val="superscript"/>
        </w:rPr>
        <w:t>[3]</w:t>
      </w:r>
      <w:r w:rsidRPr="00735C45">
        <w:rPr>
          <w:rFonts w:ascii="Trebuchet MS" w:hAnsi="Trebuchet MS" w:cs="Arial"/>
          <w:szCs w:val="24"/>
        </w:rPr>
        <w:t xml:space="preserve">. </w:t>
      </w:r>
    </w:p>
    <w:p w:rsidR="000A211A" w:rsidRPr="003E2949" w:rsidRDefault="000A211A" w:rsidP="000A211A">
      <w:pPr>
        <w:pStyle w:val="Recuodecorpodetexto"/>
        <w:jc w:val="both"/>
        <w:rPr>
          <w:rFonts w:cs="Arial"/>
          <w:b/>
          <w:color w:val="17365D"/>
          <w:sz w:val="24"/>
          <w:u w:val="single"/>
        </w:rPr>
      </w:pPr>
    </w:p>
    <w:p w:rsidR="000A211A" w:rsidRPr="003E2949" w:rsidRDefault="000A211A" w:rsidP="000A211A">
      <w:pPr>
        <w:pStyle w:val="Recuodecorpodetexto"/>
        <w:jc w:val="both"/>
        <w:rPr>
          <w:rFonts w:cs="Tahoma"/>
          <w:color w:val="403152"/>
          <w:sz w:val="24"/>
        </w:rPr>
      </w:pPr>
      <w:r>
        <w:rPr>
          <w:rFonts w:cs="FrankRuehl"/>
          <w:color w:val="403152"/>
          <w:sz w:val="24"/>
        </w:rPr>
        <w:tab/>
      </w:r>
      <w:r>
        <w:rPr>
          <w:rFonts w:cs="FrankRuehl"/>
          <w:color w:val="403152"/>
          <w:sz w:val="24"/>
        </w:rPr>
        <w:tab/>
      </w:r>
      <w:r>
        <w:rPr>
          <w:rFonts w:cs="FrankRuehl"/>
          <w:color w:val="403152"/>
          <w:sz w:val="24"/>
        </w:rPr>
        <w:tab/>
      </w:r>
      <w:r>
        <w:rPr>
          <w:rFonts w:cs="FrankRuehl"/>
          <w:color w:val="403152"/>
          <w:sz w:val="24"/>
        </w:rPr>
        <w:tab/>
      </w:r>
      <w:r>
        <w:rPr>
          <w:rFonts w:cs="FrankRuehl"/>
          <w:color w:val="403152"/>
          <w:sz w:val="24"/>
        </w:rPr>
        <w:tab/>
      </w:r>
      <w:r w:rsidRPr="003E2949">
        <w:rPr>
          <w:rFonts w:cs="Tahoma"/>
          <w:color w:val="403152"/>
          <w:sz w:val="24"/>
        </w:rPr>
        <w:t>Vitamina A</w:t>
      </w:r>
    </w:p>
    <w:p w:rsidR="000A211A" w:rsidRPr="003E2949" w:rsidRDefault="000A211A" w:rsidP="000A211A">
      <w:pPr>
        <w:pStyle w:val="Recuodecorpodetexto"/>
        <w:jc w:val="both"/>
        <w:rPr>
          <w:rFonts w:cs="Arial"/>
          <w:color w:val="000000"/>
          <w:sz w:val="24"/>
        </w:rPr>
      </w:pPr>
      <w:r>
        <w:rPr>
          <w:noProof/>
          <w:lang w:eastAsia="pt-BR"/>
        </w:rPr>
        <w:drawing>
          <wp:anchor distT="0" distB="0" distL="114300" distR="114300" simplePos="0" relativeHeight="251660288" behindDoc="0" locked="0" layoutInCell="1" allowOverlap="1">
            <wp:simplePos x="0" y="0"/>
            <wp:positionH relativeFrom="column">
              <wp:posOffset>5694680</wp:posOffset>
            </wp:positionH>
            <wp:positionV relativeFrom="paragraph">
              <wp:posOffset>501650</wp:posOffset>
            </wp:positionV>
            <wp:extent cx="920750" cy="775970"/>
            <wp:effectExtent l="0" t="0" r="0" b="5080"/>
            <wp:wrapSquare wrapText="bothSides"/>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685" t="26271" r="19225" b="11581"/>
                    <a:stretch>
                      <a:fillRect/>
                    </a:stretch>
                  </pic:blipFill>
                  <pic:spPr bwMode="auto">
                    <a:xfrm>
                      <a:off x="0" y="0"/>
                      <a:ext cx="920750" cy="775970"/>
                    </a:xfrm>
                    <a:prstGeom prst="rect">
                      <a:avLst/>
                    </a:prstGeom>
                    <a:noFill/>
                    <a:ln>
                      <a:noFill/>
                    </a:ln>
                  </pic:spPr>
                </pic:pic>
              </a:graphicData>
            </a:graphic>
          </wp:anchor>
        </w:drawing>
      </w:r>
      <w:r w:rsidRPr="003E2949">
        <w:rPr>
          <w:rFonts w:cs="Arial"/>
          <w:color w:val="1F497D"/>
          <w:sz w:val="24"/>
        </w:rPr>
        <w:tab/>
      </w:r>
      <w:r w:rsidRPr="003E2949">
        <w:rPr>
          <w:rFonts w:cs="Arial"/>
          <w:color w:val="000000"/>
          <w:sz w:val="24"/>
        </w:rPr>
        <w:t xml:space="preserve">A </w:t>
      </w:r>
      <w:r>
        <w:rPr>
          <w:rFonts w:cs="Arial"/>
          <w:color w:val="000000"/>
          <w:sz w:val="24"/>
        </w:rPr>
        <w:t>v</w:t>
      </w:r>
      <w:r w:rsidRPr="003E2949">
        <w:rPr>
          <w:rFonts w:cs="Arial"/>
          <w:color w:val="000000"/>
          <w:sz w:val="24"/>
        </w:rPr>
        <w:t>itamina A é essencial para o crescimento e desenvolvimento humano, sendo que sua deficiência pode causar cegueira em crianças e aumentar o risco de mortalidade devido à infecções. Entre as gestantes, a carência do nutriente causa cegueira noturna e pode elevar o risco de mortalidade materna</w:t>
      </w:r>
      <w:r w:rsidRPr="000A211A">
        <w:rPr>
          <w:rFonts w:cs="Arial"/>
          <w:color w:val="000000"/>
          <w:sz w:val="24"/>
          <w:vertAlign w:val="superscript"/>
        </w:rPr>
        <w:t>[1,3]</w:t>
      </w:r>
      <w:r w:rsidRPr="003E2949">
        <w:rPr>
          <w:rFonts w:cs="Arial"/>
          <w:color w:val="1F497D"/>
          <w:sz w:val="24"/>
        </w:rPr>
        <w:t xml:space="preserve">. </w:t>
      </w:r>
      <w:r w:rsidRPr="003E2949">
        <w:rPr>
          <w:rFonts w:cs="Arial"/>
          <w:color w:val="000000"/>
          <w:sz w:val="24"/>
        </w:rPr>
        <w:t>Além disso, observa-se alta prevalência de anemia em populações afetadas pela deficiência de vitamina A, já que o nutriente está envolvido na patogênese da doença por meio de diferentes mecanismos biológicos: modulação do metabolismo do ferro, interferência na imunidade e mobilização do ferro dos tecidos</w:t>
      </w:r>
      <w:r w:rsidRPr="000A211A">
        <w:rPr>
          <w:rFonts w:cs="Arial"/>
          <w:color w:val="000000"/>
          <w:sz w:val="24"/>
          <w:vertAlign w:val="superscript"/>
        </w:rPr>
        <w:t>[5]</w:t>
      </w:r>
      <w:r w:rsidRPr="003E2949">
        <w:rPr>
          <w:rFonts w:cs="Arial"/>
          <w:color w:val="000000"/>
          <w:sz w:val="24"/>
        </w:rPr>
        <w:t xml:space="preserve">.  </w:t>
      </w:r>
    </w:p>
    <w:p w:rsidR="000A211A" w:rsidRPr="00735C45" w:rsidRDefault="000A211A" w:rsidP="000A211A">
      <w:pPr>
        <w:pStyle w:val="Recuodecorpodetexto"/>
        <w:jc w:val="both"/>
        <w:rPr>
          <w:rFonts w:cs="Arial"/>
          <w:sz w:val="24"/>
        </w:rPr>
      </w:pPr>
      <w:r w:rsidRPr="003E2949">
        <w:rPr>
          <w:rFonts w:cs="Arial"/>
          <w:color w:val="1F497D"/>
          <w:sz w:val="24"/>
        </w:rPr>
        <w:tab/>
      </w:r>
      <w:r w:rsidRPr="00735C45">
        <w:rPr>
          <w:rFonts w:cs="Arial"/>
          <w:sz w:val="24"/>
        </w:rPr>
        <w:t xml:space="preserve">De acordo com os resultados da PNS realizada no Brasil, que avaliou os níveis de vitamina A de 3.499 crianças em idade pré-escolar, 17% </w:t>
      </w:r>
      <w:r w:rsidRPr="00735C45">
        <w:rPr>
          <w:rFonts w:cs="Arial"/>
          <w:sz w:val="24"/>
        </w:rPr>
        <w:lastRenderedPageBreak/>
        <w:t>apresentaram deficiência da substância (retinol sérico &lt;20</w:t>
      </w:r>
      <w:r w:rsidRPr="00735C45">
        <w:rPr>
          <w:rFonts w:eastAsia="Arial Unicode MS" w:cs="Arial"/>
          <w:color w:val="000000"/>
          <w:sz w:val="24"/>
        </w:rPr>
        <w:t xml:space="preserve"> </w:t>
      </w:r>
      <w:proofErr w:type="spellStart"/>
      <w:r w:rsidRPr="00735C45">
        <w:rPr>
          <w:rFonts w:eastAsia="Arial Unicode MS" w:cs="Arial"/>
          <w:color w:val="000000"/>
          <w:sz w:val="24"/>
        </w:rPr>
        <w:t>μg</w:t>
      </w:r>
      <w:proofErr w:type="spellEnd"/>
      <w:r w:rsidRPr="00735C45">
        <w:rPr>
          <w:rFonts w:eastAsia="Arial Unicode MS" w:cs="Arial"/>
          <w:color w:val="000000"/>
          <w:sz w:val="24"/>
        </w:rPr>
        <w:t>/dL)</w:t>
      </w:r>
      <w:r w:rsidRPr="00735C45">
        <w:rPr>
          <w:rFonts w:cs="Arial"/>
          <w:sz w:val="24"/>
        </w:rPr>
        <w:t>, sendo 18% na região urbana e 13% na rural</w:t>
      </w:r>
      <w:r w:rsidRPr="000A211A">
        <w:rPr>
          <w:rFonts w:cs="Arial"/>
          <w:sz w:val="24"/>
          <w:vertAlign w:val="superscript"/>
        </w:rPr>
        <w:t>[6]</w:t>
      </w:r>
      <w:r w:rsidRPr="00735C45">
        <w:rPr>
          <w:rFonts w:cs="Arial"/>
          <w:sz w:val="24"/>
        </w:rPr>
        <w:t xml:space="preserve">. </w:t>
      </w:r>
    </w:p>
    <w:p w:rsidR="000A211A" w:rsidRPr="00735C45" w:rsidRDefault="000A211A" w:rsidP="000A211A">
      <w:pPr>
        <w:pStyle w:val="Recuodecorpodetexto"/>
        <w:jc w:val="both"/>
        <w:rPr>
          <w:rFonts w:cs="Arial"/>
          <w:sz w:val="24"/>
        </w:rPr>
      </w:pPr>
      <w:r w:rsidRPr="00735C45">
        <w:rPr>
          <w:rFonts w:cs="Arial"/>
          <w:sz w:val="24"/>
        </w:rPr>
        <w:tab/>
        <w:t xml:space="preserve">A mesma pesquisa reportou 12% de deficiência de vitamina A em mulheres (n=5.698), sendo que a prevalência foi superior entre as mais jovens (15 a 19 anos) quando comparadas às mais velhas (36 a 49 anos), 15% e 13% respectivamente. </w:t>
      </w:r>
    </w:p>
    <w:p w:rsidR="000A211A" w:rsidRPr="00735C45" w:rsidRDefault="000A211A" w:rsidP="000A211A">
      <w:pPr>
        <w:pStyle w:val="Recuodecorpodetexto"/>
        <w:jc w:val="both"/>
        <w:rPr>
          <w:rFonts w:cs="Arial"/>
          <w:sz w:val="24"/>
        </w:rPr>
      </w:pPr>
      <w:r w:rsidRPr="00735C45">
        <w:rPr>
          <w:rFonts w:cs="Arial"/>
          <w:sz w:val="24"/>
        </w:rPr>
        <w:tab/>
        <w:t>Outros estudos realizados no país apontaram 21% de deficiência de vitamina A entre lactentes, de 0% a 75% no grupo pré-escolar, de 21% a 35% nos escolares, de 2% a 32% entre adolescentes, de 8% a 9% em adultos, 2% em grupos de gestantes, 28% entre recém-nascidos e 10% entre idosos</w:t>
      </w:r>
      <w:r w:rsidRPr="000A211A">
        <w:rPr>
          <w:rFonts w:cs="Arial"/>
          <w:sz w:val="24"/>
          <w:vertAlign w:val="superscript"/>
        </w:rPr>
        <w:t>[3]</w:t>
      </w:r>
      <w:r w:rsidRPr="00735C45">
        <w:rPr>
          <w:rFonts w:cs="Arial"/>
          <w:sz w:val="24"/>
        </w:rPr>
        <w:t xml:space="preserve">. </w:t>
      </w:r>
    </w:p>
    <w:p w:rsidR="000A211A" w:rsidRDefault="000A211A" w:rsidP="000A211A">
      <w:pPr>
        <w:pStyle w:val="Recuodecorpodetexto"/>
        <w:jc w:val="both"/>
        <w:rPr>
          <w:rFonts w:cs="Arial"/>
          <w:sz w:val="24"/>
        </w:rPr>
      </w:pPr>
      <w:r>
        <w:rPr>
          <w:noProof/>
          <w:lang w:eastAsia="pt-BR"/>
        </w:rPr>
        <w:drawing>
          <wp:anchor distT="0" distB="0" distL="114300" distR="114300" simplePos="0" relativeHeight="251661312" behindDoc="0" locked="0" layoutInCell="1" allowOverlap="1">
            <wp:simplePos x="0" y="0"/>
            <wp:positionH relativeFrom="column">
              <wp:posOffset>-6985</wp:posOffset>
            </wp:positionH>
            <wp:positionV relativeFrom="paragraph">
              <wp:posOffset>88265</wp:posOffset>
            </wp:positionV>
            <wp:extent cx="826135" cy="681355"/>
            <wp:effectExtent l="0" t="0" r="0" b="4445"/>
            <wp:wrapSquare wrapText="bothSides"/>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567" t="21751" r="17461" b="16949"/>
                    <a:stretch>
                      <a:fillRect/>
                    </a:stretch>
                  </pic:blipFill>
                  <pic:spPr bwMode="auto">
                    <a:xfrm>
                      <a:off x="0" y="0"/>
                      <a:ext cx="826135" cy="681355"/>
                    </a:xfrm>
                    <a:prstGeom prst="rect">
                      <a:avLst/>
                    </a:prstGeom>
                    <a:noFill/>
                    <a:ln>
                      <a:noFill/>
                    </a:ln>
                  </pic:spPr>
                </pic:pic>
              </a:graphicData>
            </a:graphic>
          </wp:anchor>
        </w:drawing>
      </w:r>
      <w:r w:rsidRPr="00735C45">
        <w:rPr>
          <w:rFonts w:cs="Arial"/>
          <w:sz w:val="24"/>
        </w:rPr>
        <w:tab/>
        <w:t xml:space="preserve">Segundo o critério estabelecido pelo International </w:t>
      </w:r>
      <w:proofErr w:type="spellStart"/>
      <w:r w:rsidRPr="00735C45">
        <w:rPr>
          <w:rFonts w:cs="Arial"/>
          <w:sz w:val="24"/>
        </w:rPr>
        <w:t>Vitamin</w:t>
      </w:r>
      <w:proofErr w:type="spellEnd"/>
      <w:r w:rsidRPr="00735C45">
        <w:rPr>
          <w:rFonts w:cs="Arial"/>
          <w:sz w:val="24"/>
        </w:rPr>
        <w:t xml:space="preserve"> A </w:t>
      </w:r>
      <w:proofErr w:type="spellStart"/>
      <w:r w:rsidRPr="00735C45">
        <w:rPr>
          <w:rFonts w:cs="Arial"/>
          <w:sz w:val="24"/>
        </w:rPr>
        <w:t>Consultative</w:t>
      </w:r>
      <w:proofErr w:type="spellEnd"/>
      <w:r w:rsidRPr="00735C45">
        <w:rPr>
          <w:rFonts w:cs="Arial"/>
          <w:sz w:val="24"/>
        </w:rPr>
        <w:t xml:space="preserve"> Group (IVACG/WHO) para definir a gravidade da deficiência de vitamina A no âmbito da saúde pública, o Brasil é classificado como nível moderado de severidade, confor</w:t>
      </w:r>
      <w:r>
        <w:rPr>
          <w:rFonts w:cs="Arial"/>
          <w:sz w:val="24"/>
        </w:rPr>
        <w:t>me mostram as figuras 1 e 2</w:t>
      </w:r>
      <w:r w:rsidRPr="000A211A">
        <w:rPr>
          <w:rFonts w:cs="Arial"/>
          <w:sz w:val="24"/>
          <w:vertAlign w:val="superscript"/>
        </w:rPr>
        <w:t>[7]</w:t>
      </w:r>
      <w:r w:rsidRPr="00735C45">
        <w:rPr>
          <w:rFonts w:cs="Arial"/>
          <w:sz w:val="24"/>
        </w:rPr>
        <w:t>.</w:t>
      </w:r>
    </w:p>
    <w:p w:rsidR="000A211A" w:rsidRDefault="000A211A" w:rsidP="000A211A">
      <w:pPr>
        <w:pStyle w:val="Recuodecorpodetexto"/>
        <w:jc w:val="both"/>
        <w:rPr>
          <w:rFonts w:cs="Arial"/>
          <w:sz w:val="24"/>
        </w:rPr>
      </w:pPr>
    </w:p>
    <w:p w:rsidR="000A211A" w:rsidRPr="000A211A" w:rsidRDefault="000A211A" w:rsidP="000A211A">
      <w:pPr>
        <w:pStyle w:val="Recuodecorpodetexto"/>
        <w:jc w:val="both"/>
        <w:rPr>
          <w:rFonts w:cs="Arial"/>
          <w:b/>
          <w:color w:val="FF0000"/>
          <w:sz w:val="24"/>
        </w:rPr>
      </w:pPr>
      <w:r w:rsidRPr="000A211A">
        <w:rPr>
          <w:rFonts w:cs="Arial"/>
          <w:b/>
          <w:color w:val="FF0000"/>
          <w:sz w:val="24"/>
        </w:rPr>
        <w:t>(COLOCAR AQUI A FIGURA 1 E 2)</w:t>
      </w:r>
    </w:p>
    <w:p w:rsidR="000A211A" w:rsidRDefault="000A211A" w:rsidP="000A211A">
      <w:pPr>
        <w:pStyle w:val="Recuodecorpodetexto"/>
        <w:jc w:val="center"/>
        <w:rPr>
          <w:rFonts w:cs="Arial"/>
          <w:b/>
          <w:sz w:val="24"/>
        </w:rPr>
      </w:pPr>
    </w:p>
    <w:p w:rsidR="000A211A" w:rsidRPr="003E2949" w:rsidRDefault="000A211A" w:rsidP="000A211A">
      <w:pPr>
        <w:pStyle w:val="Recuodecorpodetexto"/>
        <w:jc w:val="center"/>
        <w:rPr>
          <w:rFonts w:cs="Tahoma"/>
          <w:color w:val="403152"/>
          <w:sz w:val="24"/>
        </w:rPr>
      </w:pPr>
      <w:r w:rsidRPr="003E2949">
        <w:rPr>
          <w:rFonts w:cs="Tahoma"/>
          <w:color w:val="403152"/>
          <w:sz w:val="24"/>
        </w:rPr>
        <w:t>VITAMINA D</w:t>
      </w:r>
    </w:p>
    <w:p w:rsidR="000A211A" w:rsidRPr="00735C45" w:rsidRDefault="000A211A" w:rsidP="000A211A">
      <w:pPr>
        <w:pStyle w:val="Body1"/>
        <w:spacing w:line="276" w:lineRule="auto"/>
        <w:jc w:val="both"/>
        <w:rPr>
          <w:rFonts w:ascii="Trebuchet MS" w:hAnsi="Trebuchet MS" w:cs="Arial"/>
          <w:szCs w:val="24"/>
        </w:rPr>
      </w:pPr>
      <w:r w:rsidRPr="00735C45">
        <w:rPr>
          <w:rFonts w:ascii="Trebuchet MS" w:hAnsi="Trebuchet MS" w:cs="Arial"/>
          <w:szCs w:val="24"/>
        </w:rPr>
        <w:tab/>
        <w:t>Não existem dados representativos sobre os níveis de vitamina D entre os subgrupos populacionais no Brasil. Entretanto, a interpretação individual de vários estudos disponíveis sugere que a insuficiência do nutriente pode ser maior entre mulheres, idosos e mulheres na pós-menopausa</w:t>
      </w:r>
      <w:r w:rsidRPr="000A211A">
        <w:rPr>
          <w:rFonts w:ascii="Trebuchet MS" w:hAnsi="Trebuchet MS" w:cs="Arial"/>
          <w:szCs w:val="24"/>
          <w:vertAlign w:val="superscript"/>
        </w:rPr>
        <w:t>[3]</w:t>
      </w:r>
      <w:r w:rsidRPr="00735C45">
        <w:rPr>
          <w:rFonts w:ascii="Trebuchet MS" w:hAnsi="Trebuchet MS" w:cs="Arial"/>
          <w:szCs w:val="24"/>
        </w:rPr>
        <w:t xml:space="preserve">. </w:t>
      </w:r>
    </w:p>
    <w:p w:rsidR="000A211A" w:rsidRPr="00735C45" w:rsidRDefault="000A211A" w:rsidP="000A211A">
      <w:pPr>
        <w:pStyle w:val="Body1"/>
        <w:spacing w:line="276" w:lineRule="auto"/>
        <w:jc w:val="both"/>
        <w:rPr>
          <w:rFonts w:ascii="Trebuchet MS" w:hAnsi="Trebuchet MS" w:cs="Arial"/>
          <w:szCs w:val="24"/>
        </w:rPr>
      </w:pPr>
      <w:r w:rsidRPr="00735C45">
        <w:rPr>
          <w:rFonts w:ascii="Trebuchet MS" w:hAnsi="Trebuchet MS" w:cs="Arial"/>
          <w:szCs w:val="24"/>
        </w:rPr>
        <w:tab/>
        <w:t xml:space="preserve">A inadequação do nutriente é muito bem ilustrada pelos resultados do </w:t>
      </w:r>
      <w:r w:rsidRPr="00735C45">
        <w:rPr>
          <w:rFonts w:ascii="Trebuchet MS" w:hAnsi="Trebuchet MS" w:cs="Arial"/>
          <w:i/>
          <w:szCs w:val="24"/>
        </w:rPr>
        <w:t xml:space="preserve">The </w:t>
      </w:r>
      <w:proofErr w:type="spellStart"/>
      <w:r w:rsidRPr="00735C45">
        <w:rPr>
          <w:rFonts w:ascii="Trebuchet MS" w:hAnsi="Trebuchet MS" w:cs="Arial"/>
          <w:i/>
          <w:szCs w:val="24"/>
        </w:rPr>
        <w:t>Brazilian</w:t>
      </w:r>
      <w:proofErr w:type="spellEnd"/>
      <w:r w:rsidRPr="00735C45">
        <w:rPr>
          <w:rFonts w:ascii="Trebuchet MS" w:hAnsi="Trebuchet MS" w:cs="Arial"/>
          <w:i/>
          <w:szCs w:val="24"/>
        </w:rPr>
        <w:t xml:space="preserve"> </w:t>
      </w:r>
      <w:proofErr w:type="spellStart"/>
      <w:r w:rsidRPr="00735C45">
        <w:rPr>
          <w:rFonts w:ascii="Trebuchet MS" w:hAnsi="Trebuchet MS" w:cs="Arial"/>
          <w:i/>
          <w:szCs w:val="24"/>
        </w:rPr>
        <w:t>Osteoporosis</w:t>
      </w:r>
      <w:proofErr w:type="spellEnd"/>
      <w:r w:rsidRPr="00735C45">
        <w:rPr>
          <w:rFonts w:ascii="Trebuchet MS" w:hAnsi="Trebuchet MS" w:cs="Arial"/>
          <w:i/>
          <w:szCs w:val="24"/>
        </w:rPr>
        <w:t xml:space="preserve"> </w:t>
      </w:r>
      <w:proofErr w:type="spellStart"/>
      <w:r w:rsidRPr="00735C45">
        <w:rPr>
          <w:rFonts w:ascii="Trebuchet MS" w:hAnsi="Trebuchet MS" w:cs="Arial"/>
          <w:i/>
          <w:szCs w:val="24"/>
        </w:rPr>
        <w:t>Study</w:t>
      </w:r>
      <w:proofErr w:type="spellEnd"/>
      <w:r w:rsidRPr="00735C45">
        <w:rPr>
          <w:rFonts w:ascii="Trebuchet MS" w:hAnsi="Trebuchet MS" w:cs="Arial"/>
          <w:szCs w:val="24"/>
        </w:rPr>
        <w:t xml:space="preserve"> (</w:t>
      </w:r>
      <w:proofErr w:type="spellStart"/>
      <w:r w:rsidRPr="00735C45">
        <w:rPr>
          <w:rFonts w:ascii="Trebuchet MS" w:hAnsi="Trebuchet MS" w:cs="Arial"/>
          <w:szCs w:val="24"/>
        </w:rPr>
        <w:t>Brazos</w:t>
      </w:r>
      <w:proofErr w:type="spellEnd"/>
      <w:r w:rsidRPr="00735C45">
        <w:rPr>
          <w:rFonts w:ascii="Trebuchet MS" w:hAnsi="Trebuchet MS" w:cs="Arial"/>
          <w:szCs w:val="24"/>
        </w:rPr>
        <w:t>), na qual a ingestão média de vitamina D em um grupo de adultos e idosos, e outro de adolescentes saudáveis foi respectivamente de 74 UI e 144 UI — em contraposição à dose diária recomendada pelo Institute of Medicine (IOM) de 400 – 600 UI ao dia</w:t>
      </w:r>
      <w:r w:rsidRPr="000A211A">
        <w:rPr>
          <w:rFonts w:ascii="Trebuchet MS" w:hAnsi="Trebuchet MS" w:cs="Arial"/>
          <w:szCs w:val="24"/>
          <w:vertAlign w:val="superscript"/>
        </w:rPr>
        <w:t>[9]</w:t>
      </w:r>
      <w:r w:rsidRPr="00735C45">
        <w:rPr>
          <w:rFonts w:ascii="Trebuchet MS" w:hAnsi="Trebuchet MS" w:cs="Arial"/>
          <w:szCs w:val="24"/>
        </w:rPr>
        <w:t xml:space="preserve">. No Brasil, a Ingestão Diária Recomendada (IDR) para adultos permanece 200 UI. Quanto às concentrações séricas, os valores encontrados na população brasileira são semelhantes àqueles observados na Europa e Estados Unidos. Níveis inferiores a 75 </w:t>
      </w:r>
      <w:proofErr w:type="spellStart"/>
      <w:r w:rsidRPr="00735C45">
        <w:rPr>
          <w:rFonts w:ascii="Trebuchet MS" w:hAnsi="Trebuchet MS" w:cs="Arial"/>
          <w:szCs w:val="24"/>
        </w:rPr>
        <w:t>nmol</w:t>
      </w:r>
      <w:proofErr w:type="spellEnd"/>
      <w:r w:rsidRPr="00735C45">
        <w:rPr>
          <w:rFonts w:ascii="Trebuchet MS" w:hAnsi="Trebuchet MS" w:cs="Arial"/>
          <w:szCs w:val="24"/>
        </w:rPr>
        <w:t xml:space="preserve">/L, que caracterizam insuficiência, formam vistos em 62% dos adolescentes. Idosos institucionalizados (36 </w:t>
      </w:r>
      <w:proofErr w:type="spellStart"/>
      <w:r w:rsidRPr="00735C45">
        <w:rPr>
          <w:rFonts w:ascii="Trebuchet MS" w:hAnsi="Trebuchet MS" w:cs="Arial"/>
          <w:szCs w:val="24"/>
        </w:rPr>
        <w:t>nmol</w:t>
      </w:r>
      <w:proofErr w:type="spellEnd"/>
      <w:r w:rsidRPr="00735C45">
        <w:rPr>
          <w:rFonts w:ascii="Trebuchet MS" w:hAnsi="Trebuchet MS" w:cs="Arial"/>
          <w:szCs w:val="24"/>
        </w:rPr>
        <w:t xml:space="preserve">/L) e ambulatoriais (49 </w:t>
      </w:r>
      <w:proofErr w:type="spellStart"/>
      <w:r w:rsidRPr="00735C45">
        <w:rPr>
          <w:rFonts w:ascii="Trebuchet MS" w:hAnsi="Trebuchet MS" w:cs="Arial"/>
          <w:szCs w:val="24"/>
        </w:rPr>
        <w:t>nmol</w:t>
      </w:r>
      <w:proofErr w:type="spellEnd"/>
      <w:r w:rsidRPr="00735C45">
        <w:rPr>
          <w:rFonts w:ascii="Trebuchet MS" w:hAnsi="Trebuchet MS" w:cs="Arial"/>
          <w:szCs w:val="24"/>
        </w:rPr>
        <w:t>/L) também apresentaram concentração média reduzida</w:t>
      </w:r>
      <w:r w:rsidRPr="000A211A">
        <w:rPr>
          <w:rFonts w:ascii="Trebuchet MS" w:hAnsi="Trebuchet MS" w:cs="Arial"/>
          <w:szCs w:val="24"/>
          <w:vertAlign w:val="superscript"/>
        </w:rPr>
        <w:t>[10]</w:t>
      </w:r>
      <w:r w:rsidRPr="00735C45">
        <w:rPr>
          <w:rFonts w:ascii="Trebuchet MS" w:hAnsi="Trebuchet MS" w:cs="Arial"/>
          <w:szCs w:val="24"/>
        </w:rPr>
        <w:t>.</w:t>
      </w:r>
    </w:p>
    <w:p w:rsidR="000A211A" w:rsidRPr="00735C45" w:rsidRDefault="000A211A" w:rsidP="000A211A">
      <w:pPr>
        <w:pStyle w:val="Body1"/>
        <w:spacing w:line="276" w:lineRule="auto"/>
        <w:jc w:val="both"/>
        <w:rPr>
          <w:rFonts w:ascii="Trebuchet MS" w:hAnsi="Trebuchet MS" w:cs="Arial"/>
          <w:szCs w:val="24"/>
        </w:rPr>
      </w:pPr>
      <w:r w:rsidRPr="00735C45">
        <w:rPr>
          <w:rFonts w:ascii="Trebuchet MS" w:hAnsi="Trebuchet MS" w:cs="Arial"/>
          <w:szCs w:val="24"/>
        </w:rPr>
        <w:tab/>
        <w:t>Outra pesquisa conduzida com idosos demonstrou que 82% a 94% dos indivíduos apresentavam níveis de 25-hidroxi-vitamina D (25 OHD) inferior a 70nmol/L</w:t>
      </w:r>
      <w:r w:rsidRPr="000A211A">
        <w:rPr>
          <w:rFonts w:ascii="Trebuchet MS" w:hAnsi="Trebuchet MS" w:cs="Arial"/>
          <w:szCs w:val="24"/>
          <w:vertAlign w:val="superscript"/>
        </w:rPr>
        <w:t>[3]</w:t>
      </w:r>
      <w:r w:rsidRPr="00735C45">
        <w:rPr>
          <w:rFonts w:ascii="Trebuchet MS" w:hAnsi="Trebuchet MS" w:cs="Arial"/>
          <w:szCs w:val="24"/>
        </w:rPr>
        <w:t xml:space="preserve">. </w:t>
      </w:r>
      <w:r w:rsidRPr="00735C45">
        <w:rPr>
          <w:rFonts w:ascii="Trebuchet MS" w:hAnsi="Trebuchet MS" w:cs="Arial"/>
          <w:szCs w:val="24"/>
        </w:rPr>
        <w:tab/>
      </w:r>
    </w:p>
    <w:p w:rsidR="000A211A" w:rsidRPr="00735C45" w:rsidRDefault="000A211A" w:rsidP="000A211A">
      <w:pPr>
        <w:pStyle w:val="Body1"/>
        <w:spacing w:line="276" w:lineRule="auto"/>
        <w:jc w:val="both"/>
        <w:rPr>
          <w:rFonts w:ascii="Trebuchet MS" w:hAnsi="Trebuchet MS" w:cs="Arial"/>
          <w:szCs w:val="24"/>
        </w:rPr>
      </w:pPr>
      <w:r w:rsidRPr="00515E55">
        <w:rPr>
          <w:noProof/>
          <w:lang w:val="en-US" w:eastAsia="en-US"/>
        </w:rPr>
        <w:pict>
          <v:shapetype id="_x0000_t202" coordsize="21600,21600" o:spt="202" path="m,l,21600r21600,l21600,xe">
            <v:stroke joinstyle="miter"/>
            <v:path gradientshapeok="t" o:connecttype="rect"/>
          </v:shapetype>
          <v:shape id="Text Box 4" o:spid="_x0000_s1026" type="#_x0000_t202" style="position:absolute;left:0;text-align:left;margin-left:351.15pt;margin-top:3.45pt;width:182.05pt;height:148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" fillcolor="#4f81bd" strokecolor="#f2f2f2" strokeweight="3pt">
            <v:shadow on="t" color="#254061" opacity=".5" offset="1pt"/>
            <v:textbox>
              <w:txbxContent>
                <w:p w:rsidR="000A211A" w:rsidRPr="003E2949" w:rsidRDefault="000A211A" w:rsidP="000A211A">
                  <w:pPr>
                    <w:jc w:val="both"/>
                    <w:rPr>
                      <w:color w:val="EEECE1"/>
                      <w:szCs w:val="20"/>
                    </w:rPr>
                  </w:pPr>
                  <w:r w:rsidRPr="003E2949">
                    <w:rPr>
                      <w:rFonts w:ascii="Arial" w:hAnsi="Arial" w:cs="Arial"/>
                      <w:color w:val="EEECE1"/>
                      <w:szCs w:val="20"/>
                    </w:rPr>
                    <w:t>Estudos epidemiológicos têm associado a deficiência de vitamina D com o aumento do risco para certos tipos de câncer, diversas patologias autoimunes, hipertensão e doenças infecciosas. Além disso, a concentração adequada de vitamina D é fundamental para o metabolismo ósseo saudável e homeostase de cálcio e fósforo [12].</w:t>
                  </w:r>
                </w:p>
              </w:txbxContent>
            </v:textbox>
            <w10:wrap type="square"/>
          </v:shape>
        </w:pict>
      </w:r>
      <w:r w:rsidRPr="00735C45">
        <w:rPr>
          <w:rFonts w:ascii="Trebuchet MS" w:hAnsi="Trebuchet MS" w:cs="Arial"/>
          <w:szCs w:val="24"/>
        </w:rPr>
        <w:tab/>
        <w:t>Vale lembrar que os resultados da Pesquisa de Orçamentos Familiares (POF) 2008-2009 reforçaram os dados sobre a alta prevalência de inadequação de ingestão de vitamina D</w:t>
      </w:r>
      <w:r w:rsidRPr="000A211A">
        <w:rPr>
          <w:rFonts w:ascii="Trebuchet MS" w:hAnsi="Trebuchet MS" w:cs="Arial"/>
          <w:szCs w:val="24"/>
          <w:vertAlign w:val="superscript"/>
        </w:rPr>
        <w:t>[11]</w:t>
      </w:r>
      <w:r w:rsidRPr="00735C45">
        <w:rPr>
          <w:rFonts w:ascii="Trebuchet MS" w:hAnsi="Trebuchet MS" w:cs="Arial"/>
          <w:szCs w:val="24"/>
        </w:rPr>
        <w:t xml:space="preserve">. O levantamento demonstrou 99,6% de inadequação entre homens (19 e 59 anos) e 99,2% entre mulheres da mesma idade. Em indivíduos com mais de 60 anos, o número foi superior a 99%. Entre </w:t>
      </w:r>
      <w:r w:rsidRPr="00735C45">
        <w:rPr>
          <w:rFonts w:ascii="Trebuchet MS" w:hAnsi="Trebuchet MS" w:cs="Arial"/>
          <w:szCs w:val="24"/>
        </w:rPr>
        <w:lastRenderedPageBreak/>
        <w:t>crianças e adolescentes, os índices também se mostraram bastante elevados.</w:t>
      </w:r>
      <w:r w:rsidRPr="00735C45">
        <w:rPr>
          <w:rFonts w:ascii="Trebuchet MS" w:hAnsi="Trebuchet MS"/>
          <w:noProof/>
          <w:szCs w:val="24"/>
        </w:rPr>
        <w:t xml:space="preserve"> </w:t>
      </w:r>
    </w:p>
    <w:p w:rsidR="000A211A" w:rsidRPr="00735C45" w:rsidRDefault="000A211A" w:rsidP="000A211A">
      <w:pPr>
        <w:pStyle w:val="Body1"/>
        <w:spacing w:line="276" w:lineRule="auto"/>
        <w:jc w:val="both"/>
        <w:rPr>
          <w:rFonts w:ascii="Trebuchet MS" w:hAnsi="Trebuchet MS" w:cs="Arial"/>
          <w:szCs w:val="24"/>
        </w:rPr>
      </w:pPr>
      <w:r>
        <w:rPr>
          <w:noProof/>
        </w:rPr>
        <w:drawing>
          <wp:anchor distT="0" distB="0" distL="114300" distR="114300" simplePos="0" relativeHeight="251663360" behindDoc="0" locked="0" layoutInCell="1" allowOverlap="1">
            <wp:simplePos x="0" y="0"/>
            <wp:positionH relativeFrom="column">
              <wp:posOffset>10160</wp:posOffset>
            </wp:positionH>
            <wp:positionV relativeFrom="paragraph">
              <wp:posOffset>62865</wp:posOffset>
            </wp:positionV>
            <wp:extent cx="653415" cy="836295"/>
            <wp:effectExtent l="0" t="0" r="0" b="1905"/>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644" t="17390" r="33415" b="17094"/>
                    <a:stretch>
                      <a:fillRect/>
                    </a:stretch>
                  </pic:blipFill>
                  <pic:spPr bwMode="auto">
                    <a:xfrm>
                      <a:off x="0" y="0"/>
                      <a:ext cx="653415" cy="836295"/>
                    </a:xfrm>
                    <a:prstGeom prst="rect">
                      <a:avLst/>
                    </a:prstGeom>
                    <a:noFill/>
                    <a:ln>
                      <a:noFill/>
                    </a:ln>
                  </pic:spPr>
                </pic:pic>
              </a:graphicData>
            </a:graphic>
          </wp:anchor>
        </w:drawing>
      </w:r>
      <w:r w:rsidRPr="00735C45">
        <w:rPr>
          <w:rFonts w:ascii="Trebuchet MS" w:hAnsi="Trebuchet MS" w:cs="Arial"/>
          <w:szCs w:val="24"/>
        </w:rPr>
        <w:tab/>
        <w:t>As únicas amostras populacionais representativas na América Latina sobre os níveis de vitamina D foram observadas no México e na Patagônia Argentina. As duas regiões foram classificadas como prevalência moderada de insuficiência do nutriente,</w:t>
      </w:r>
      <w:r>
        <w:rPr>
          <w:rFonts w:ascii="Trebuchet MS" w:hAnsi="Trebuchet MS" w:cs="Arial"/>
          <w:szCs w:val="24"/>
        </w:rPr>
        <w:t xml:space="preserve"> conforme mostra a figura 3</w:t>
      </w:r>
      <w:r w:rsidRPr="000A211A">
        <w:rPr>
          <w:rFonts w:ascii="Trebuchet MS" w:hAnsi="Trebuchet MS" w:cs="Arial"/>
          <w:szCs w:val="24"/>
          <w:vertAlign w:val="superscript"/>
        </w:rPr>
        <w:t>[3]</w:t>
      </w:r>
      <w:r w:rsidRPr="00735C45">
        <w:rPr>
          <w:rFonts w:ascii="Trebuchet MS" w:hAnsi="Trebuchet MS" w:cs="Arial"/>
          <w:szCs w:val="24"/>
        </w:rPr>
        <w:t xml:space="preserve">.  </w:t>
      </w:r>
    </w:p>
    <w:p w:rsidR="000A211A" w:rsidRDefault="000A211A" w:rsidP="000A211A">
      <w:pPr>
        <w:pStyle w:val="Body1"/>
        <w:spacing w:line="276" w:lineRule="auto"/>
        <w:jc w:val="both"/>
        <w:rPr>
          <w:rFonts w:ascii="Trebuchet MS" w:hAnsi="Trebuchet MS" w:cs="Arial"/>
          <w:szCs w:val="24"/>
        </w:rPr>
      </w:pPr>
      <w:r w:rsidRPr="00735C45">
        <w:rPr>
          <w:rFonts w:ascii="Trebuchet MS" w:hAnsi="Trebuchet MS" w:cs="Arial"/>
          <w:szCs w:val="24"/>
        </w:rPr>
        <w:tab/>
        <w:t xml:space="preserve"> </w:t>
      </w:r>
    </w:p>
    <w:p w:rsidR="000A211A" w:rsidRPr="000A211A" w:rsidRDefault="000A211A" w:rsidP="000A211A">
      <w:pPr>
        <w:pStyle w:val="Recuodecorpodetexto"/>
        <w:jc w:val="both"/>
        <w:rPr>
          <w:rFonts w:cs="Arial"/>
          <w:b/>
          <w:color w:val="FF0000"/>
          <w:sz w:val="24"/>
        </w:rPr>
      </w:pPr>
      <w:r w:rsidRPr="000A211A">
        <w:rPr>
          <w:rFonts w:cs="Arial"/>
          <w:b/>
          <w:color w:val="FF0000"/>
          <w:sz w:val="24"/>
        </w:rPr>
        <w:t xml:space="preserve">(COLOCAR AQUI A FIGURA </w:t>
      </w:r>
      <w:r>
        <w:rPr>
          <w:rFonts w:cs="Arial"/>
          <w:b/>
          <w:color w:val="FF0000"/>
          <w:sz w:val="24"/>
        </w:rPr>
        <w:t>3</w:t>
      </w:r>
      <w:r w:rsidRPr="000A211A">
        <w:rPr>
          <w:rFonts w:cs="Arial"/>
          <w:b/>
          <w:color w:val="FF0000"/>
          <w:sz w:val="24"/>
        </w:rPr>
        <w:t>)</w:t>
      </w:r>
    </w:p>
    <w:p w:rsidR="000A211A" w:rsidRPr="00735C45" w:rsidRDefault="000A211A" w:rsidP="000A211A">
      <w:pPr>
        <w:pStyle w:val="Body1"/>
        <w:spacing w:line="276" w:lineRule="auto"/>
        <w:jc w:val="both"/>
        <w:rPr>
          <w:rFonts w:ascii="Trebuchet MS" w:hAnsi="Trebuchet MS" w:cs="Arial"/>
          <w:szCs w:val="24"/>
        </w:rPr>
      </w:pPr>
    </w:p>
    <w:p w:rsidR="000A211A" w:rsidRDefault="000A211A" w:rsidP="000A211A">
      <w:pPr>
        <w:pStyle w:val="Recuodecorpodetexto"/>
        <w:jc w:val="center"/>
        <w:rPr>
          <w:rFonts w:cs="Arial"/>
          <w:b/>
          <w:sz w:val="24"/>
        </w:rPr>
      </w:pPr>
    </w:p>
    <w:p w:rsidR="000A211A" w:rsidRPr="003E2949" w:rsidRDefault="000A211A" w:rsidP="000A211A">
      <w:pPr>
        <w:pStyle w:val="Body1"/>
        <w:spacing w:line="276" w:lineRule="auto"/>
        <w:jc w:val="center"/>
        <w:rPr>
          <w:rFonts w:ascii="Trebuchet MS" w:eastAsia="Calibri" w:hAnsi="Trebuchet MS" w:cs="Tahoma"/>
          <w:color w:val="403152"/>
          <w:szCs w:val="24"/>
          <w:lang w:eastAsia="en-US"/>
        </w:rPr>
      </w:pPr>
      <w:r w:rsidRPr="003E2949">
        <w:rPr>
          <w:rFonts w:ascii="Trebuchet MS" w:eastAsia="Calibri" w:hAnsi="Trebuchet MS" w:cs="Tahoma"/>
          <w:color w:val="403152"/>
          <w:szCs w:val="24"/>
          <w:lang w:eastAsia="en-US"/>
        </w:rPr>
        <w:t>VITAMINA B</w:t>
      </w:r>
      <w:r w:rsidRPr="000A211A">
        <w:rPr>
          <w:rFonts w:ascii="Trebuchet MS" w:eastAsia="Calibri" w:hAnsi="Trebuchet MS" w:cs="Tahoma"/>
          <w:color w:val="403152"/>
          <w:szCs w:val="24"/>
          <w:vertAlign w:val="subscript"/>
          <w:lang w:eastAsia="en-US"/>
        </w:rPr>
        <w:t>6</w:t>
      </w:r>
    </w:p>
    <w:p w:rsidR="000A211A" w:rsidRPr="00735C45" w:rsidRDefault="000A211A" w:rsidP="000A211A">
      <w:pPr>
        <w:pStyle w:val="Body1"/>
        <w:spacing w:line="276" w:lineRule="auto"/>
        <w:jc w:val="both"/>
        <w:rPr>
          <w:rFonts w:ascii="Trebuchet MS" w:hAnsi="Trebuchet MS" w:cs="Arial"/>
          <w:szCs w:val="24"/>
        </w:rPr>
      </w:pPr>
      <w:r w:rsidRPr="00735C45">
        <w:rPr>
          <w:rFonts w:ascii="Trebuchet MS" w:hAnsi="Trebuchet MS" w:cs="Arial"/>
          <w:b/>
          <w:szCs w:val="24"/>
        </w:rPr>
        <w:tab/>
      </w:r>
      <w:r w:rsidRPr="00735C45">
        <w:rPr>
          <w:rFonts w:ascii="Trebuchet MS" w:hAnsi="Trebuchet MS" w:cs="Arial"/>
          <w:szCs w:val="24"/>
        </w:rPr>
        <w:t>A vitamina B</w:t>
      </w:r>
      <w:r w:rsidRPr="000A211A">
        <w:rPr>
          <w:rFonts w:ascii="Trebuchet MS" w:hAnsi="Trebuchet MS" w:cs="Arial"/>
          <w:szCs w:val="24"/>
          <w:vertAlign w:val="subscript"/>
        </w:rPr>
        <w:t>6</w:t>
      </w:r>
      <w:r w:rsidRPr="00735C45">
        <w:rPr>
          <w:rFonts w:ascii="Trebuchet MS" w:hAnsi="Trebuchet MS" w:cs="Arial"/>
          <w:szCs w:val="24"/>
        </w:rPr>
        <w:t xml:space="preserve"> atua como cofator enzimático e está relacionada ao metabolismo de aminoácidos e hormônios esteróides, à síntese do heme e de neurotransmissores, à integridade do sistema imune, dentre outras funções vitais</w:t>
      </w:r>
      <w:r w:rsidRPr="000A211A">
        <w:rPr>
          <w:rFonts w:ascii="Trebuchet MS" w:hAnsi="Trebuchet MS" w:cs="Arial"/>
          <w:szCs w:val="24"/>
          <w:vertAlign w:val="superscript"/>
        </w:rPr>
        <w:t>[3,4]</w:t>
      </w:r>
      <w:r w:rsidRPr="00735C45">
        <w:rPr>
          <w:rFonts w:ascii="Trebuchet MS" w:hAnsi="Trebuchet MS" w:cs="Arial"/>
          <w:szCs w:val="24"/>
        </w:rPr>
        <w:t xml:space="preserve">. Resultados de um único estudo sugerem que a deficiência de vitamina B6 (&lt;20 </w:t>
      </w:r>
      <w:proofErr w:type="spellStart"/>
      <w:r w:rsidRPr="00735C45">
        <w:rPr>
          <w:rFonts w:ascii="Trebuchet MS" w:hAnsi="Trebuchet MS" w:cs="Arial"/>
          <w:szCs w:val="24"/>
        </w:rPr>
        <w:t>nmol</w:t>
      </w:r>
      <w:proofErr w:type="spellEnd"/>
      <w:r w:rsidRPr="00735C45">
        <w:rPr>
          <w:rFonts w:ascii="Trebuchet MS" w:hAnsi="Trebuchet MS" w:cs="Arial"/>
          <w:szCs w:val="24"/>
        </w:rPr>
        <w:t>/L) pode ser alta entre as mulheres (54%). A pesquisa envolveu 1032 indivíduos (38 ± 10 anos), sendo que os dados não devem ser extrapolados para a população brasileira em geral</w:t>
      </w:r>
      <w:r w:rsidRPr="000A211A">
        <w:rPr>
          <w:rFonts w:ascii="Trebuchet MS" w:hAnsi="Trebuchet MS" w:cs="Arial"/>
          <w:szCs w:val="24"/>
          <w:vertAlign w:val="superscript"/>
        </w:rPr>
        <w:t>[3]</w:t>
      </w:r>
      <w:r w:rsidRPr="00735C45">
        <w:rPr>
          <w:rFonts w:ascii="Trebuchet MS" w:hAnsi="Trebuchet MS" w:cs="Arial"/>
          <w:szCs w:val="24"/>
        </w:rPr>
        <w:t xml:space="preserve">. </w:t>
      </w:r>
    </w:p>
    <w:p w:rsidR="000A211A" w:rsidRPr="003E2949" w:rsidRDefault="000A211A" w:rsidP="000A211A">
      <w:pPr>
        <w:pStyle w:val="Body1"/>
        <w:spacing w:line="276" w:lineRule="auto"/>
        <w:jc w:val="both"/>
        <w:rPr>
          <w:rFonts w:ascii="Trebuchet MS" w:hAnsi="Trebuchet MS" w:cs="Arial"/>
          <w:szCs w:val="24"/>
        </w:rPr>
      </w:pPr>
    </w:p>
    <w:p w:rsidR="000A211A" w:rsidRDefault="000A211A" w:rsidP="000A211A">
      <w:pPr>
        <w:pStyle w:val="Recuodecorpodetexto"/>
        <w:jc w:val="center"/>
        <w:rPr>
          <w:rFonts w:cs="Arial"/>
          <w:b/>
          <w:sz w:val="24"/>
        </w:rPr>
      </w:pPr>
    </w:p>
    <w:p w:rsidR="000A211A" w:rsidRPr="003E2949" w:rsidRDefault="000A211A" w:rsidP="000A211A">
      <w:pPr>
        <w:pStyle w:val="Recuodecorpodetexto"/>
        <w:jc w:val="center"/>
        <w:rPr>
          <w:rFonts w:cs="Tahoma"/>
          <w:color w:val="403152"/>
          <w:sz w:val="24"/>
        </w:rPr>
      </w:pPr>
      <w:r w:rsidRPr="00735C45">
        <w:rPr>
          <w:rFonts w:cs="Arial"/>
          <w:b/>
          <w:sz w:val="24"/>
        </w:rPr>
        <w:tab/>
      </w:r>
    </w:p>
    <w:p w:rsidR="000A211A" w:rsidRPr="003E2949" w:rsidRDefault="000A211A" w:rsidP="000A211A">
      <w:pPr>
        <w:pStyle w:val="Recuodecorpodetexto"/>
        <w:pBdr>
          <w:top w:val="dashSmallGap" w:sz="4" w:space="1" w:color="auto"/>
          <w:left w:val="dashSmallGap" w:sz="4" w:space="4" w:color="auto"/>
          <w:bottom w:val="dashSmallGap" w:sz="4" w:space="1" w:color="auto"/>
          <w:right w:val="dashSmallGap" w:sz="4" w:space="4" w:color="auto"/>
        </w:pBdr>
        <w:jc w:val="center"/>
        <w:rPr>
          <w:rFonts w:cs="FrankRuehl"/>
          <w:color w:val="403152"/>
          <w:sz w:val="24"/>
        </w:rPr>
      </w:pPr>
      <w:r w:rsidRPr="003E2949">
        <w:rPr>
          <w:rFonts w:cs="Tahoma"/>
          <w:color w:val="403152"/>
          <w:sz w:val="24"/>
        </w:rPr>
        <w:t>Ferro</w:t>
      </w:r>
    </w:p>
    <w:p w:rsidR="000A211A" w:rsidRPr="00735C45" w:rsidRDefault="000A211A" w:rsidP="000A211A">
      <w:pPr>
        <w:pStyle w:val="Recuodecorpodetexto"/>
        <w:pBdr>
          <w:top w:val="dashSmallGap" w:sz="4" w:space="1" w:color="auto"/>
          <w:left w:val="dashSmallGap" w:sz="4" w:space="4" w:color="auto"/>
          <w:bottom w:val="dashSmallGap" w:sz="4" w:space="1" w:color="auto"/>
          <w:right w:val="dashSmallGap" w:sz="4" w:space="4" w:color="auto"/>
        </w:pBdr>
        <w:jc w:val="both"/>
        <w:rPr>
          <w:rFonts w:cs="Arial"/>
          <w:sz w:val="24"/>
        </w:rPr>
      </w:pPr>
      <w:r w:rsidRPr="00735C45">
        <w:rPr>
          <w:rFonts w:cs="Arial"/>
          <w:sz w:val="24"/>
        </w:rPr>
        <w:tab/>
        <w:t>A deficiência de ferro afeta negativamente o desenvolvimento neurológico de crianças, aumenta a morbi-mortalidade de gestantes e recém-nascidos e reduz o rendimento do trabalho físico em adultos. A carência do nutriente pode resultar em anemia, doença caracterizada pela diminuição da capacidade de transporte de oxigênio pela hemoglobina (</w:t>
      </w:r>
      <w:proofErr w:type="spellStart"/>
      <w:r w:rsidRPr="00735C45">
        <w:rPr>
          <w:rFonts w:cs="Arial"/>
          <w:sz w:val="24"/>
        </w:rPr>
        <w:t>Hb</w:t>
      </w:r>
      <w:proofErr w:type="spellEnd"/>
      <w:r w:rsidRPr="00735C45">
        <w:rPr>
          <w:rFonts w:cs="Arial"/>
          <w:sz w:val="24"/>
        </w:rPr>
        <w:t>). A anemia também pode ser causada por deficiência de folato e vitamina B12, doenças hematológicas, inflamações e infecções</w:t>
      </w:r>
      <w:r w:rsidRPr="000A211A">
        <w:rPr>
          <w:rFonts w:cs="Arial"/>
          <w:sz w:val="24"/>
          <w:vertAlign w:val="superscript"/>
        </w:rPr>
        <w:t>[3,2,5]</w:t>
      </w:r>
      <w:r w:rsidRPr="00735C45">
        <w:rPr>
          <w:rFonts w:cs="Arial"/>
          <w:sz w:val="24"/>
        </w:rPr>
        <w:t xml:space="preserve">. </w:t>
      </w:r>
    </w:p>
    <w:p w:rsidR="000A211A" w:rsidRPr="00735C45" w:rsidRDefault="000A211A" w:rsidP="000A211A">
      <w:pPr>
        <w:pStyle w:val="Recuodecorpodetexto"/>
        <w:pBdr>
          <w:top w:val="dashSmallGap" w:sz="4" w:space="1" w:color="auto"/>
          <w:left w:val="dashSmallGap" w:sz="4" w:space="4" w:color="auto"/>
          <w:bottom w:val="dashSmallGap" w:sz="4" w:space="1" w:color="auto"/>
          <w:right w:val="dashSmallGap" w:sz="4" w:space="4" w:color="auto"/>
        </w:pBdr>
        <w:jc w:val="both"/>
        <w:rPr>
          <w:rFonts w:cs="Arial"/>
          <w:sz w:val="24"/>
        </w:rPr>
      </w:pPr>
      <w:r w:rsidRPr="00735C45">
        <w:rPr>
          <w:rFonts w:cs="Arial"/>
          <w:sz w:val="24"/>
        </w:rPr>
        <w:tab/>
        <w:t>O trabalho de revisão sistemática realizado pelos pesquisadores do INTA apontou 5 estudos que sugerem que o grau de anemia entre gestantes e mulheres em idade fértil no Brasil pode variar de normal a severo. Dentre elas, 3 resultaram em prevalência de anemia com gravidade moderada</w:t>
      </w:r>
      <w:r w:rsidRPr="000A211A">
        <w:rPr>
          <w:rFonts w:cs="Arial"/>
          <w:sz w:val="24"/>
          <w:vertAlign w:val="superscript"/>
        </w:rPr>
        <w:t>[3]</w:t>
      </w:r>
      <w:r w:rsidRPr="00735C45">
        <w:rPr>
          <w:rFonts w:cs="Arial"/>
          <w:sz w:val="24"/>
        </w:rPr>
        <w:t xml:space="preserve">.  </w:t>
      </w:r>
    </w:p>
    <w:p w:rsidR="000A211A" w:rsidRDefault="000A211A" w:rsidP="000A211A">
      <w:pPr>
        <w:pStyle w:val="Recuodecorpodetexto"/>
        <w:pBdr>
          <w:top w:val="dashSmallGap" w:sz="4" w:space="1" w:color="auto"/>
          <w:left w:val="dashSmallGap" w:sz="4" w:space="4" w:color="auto"/>
          <w:bottom w:val="dashSmallGap" w:sz="4" w:space="1" w:color="auto"/>
          <w:right w:val="dashSmallGap" w:sz="4" w:space="4" w:color="auto"/>
        </w:pBdr>
        <w:jc w:val="both"/>
        <w:rPr>
          <w:rFonts w:cs="Arial"/>
          <w:sz w:val="24"/>
        </w:rPr>
      </w:pPr>
      <w:r>
        <w:rPr>
          <w:noProof/>
          <w:lang w:eastAsia="pt-BR"/>
        </w:rPr>
        <w:drawing>
          <wp:anchor distT="0" distB="0" distL="114300" distR="114300" simplePos="0" relativeHeight="251662336" behindDoc="0" locked="0" layoutInCell="1" allowOverlap="1">
            <wp:simplePos x="0" y="0"/>
            <wp:positionH relativeFrom="column">
              <wp:posOffset>5496560</wp:posOffset>
            </wp:positionH>
            <wp:positionV relativeFrom="paragraph">
              <wp:posOffset>6350</wp:posOffset>
            </wp:positionV>
            <wp:extent cx="1098550" cy="749935"/>
            <wp:effectExtent l="0" t="0" r="6350" b="0"/>
            <wp:wrapSquare wrapText="bothSides"/>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156" t="31921" r="13228" b="9322"/>
                    <a:stretch>
                      <a:fillRect/>
                    </a:stretch>
                  </pic:blipFill>
                  <pic:spPr bwMode="auto">
                    <a:xfrm>
                      <a:off x="0" y="0"/>
                      <a:ext cx="1098550" cy="749935"/>
                    </a:xfrm>
                    <a:prstGeom prst="rect">
                      <a:avLst/>
                    </a:prstGeom>
                    <a:noFill/>
                    <a:ln>
                      <a:noFill/>
                    </a:ln>
                  </pic:spPr>
                </pic:pic>
              </a:graphicData>
            </a:graphic>
          </wp:anchor>
        </w:drawing>
      </w:r>
      <w:r w:rsidRPr="00735C45">
        <w:rPr>
          <w:rFonts w:cs="Arial"/>
          <w:sz w:val="24"/>
        </w:rPr>
        <w:tab/>
        <w:t>De acordo com os resultados da PNS e dados da OMS, a severidade da anemia no âmbito da saúde pública pode ser considerada moderada entre mulheres de 15 a 49 anos (29%)</w:t>
      </w:r>
      <w:r w:rsidRPr="000A211A">
        <w:rPr>
          <w:rFonts w:cs="Arial"/>
          <w:sz w:val="24"/>
          <w:vertAlign w:val="superscript"/>
        </w:rPr>
        <w:t>[6,8]</w:t>
      </w:r>
      <w:r w:rsidRPr="00735C45">
        <w:rPr>
          <w:rFonts w:cs="Arial"/>
          <w:sz w:val="24"/>
        </w:rPr>
        <w:t xml:space="preserve">. </w:t>
      </w:r>
    </w:p>
    <w:p w:rsidR="000A211A" w:rsidRDefault="000A211A" w:rsidP="000A211A">
      <w:pPr>
        <w:pStyle w:val="Recuodecorpodetexto"/>
        <w:pBdr>
          <w:top w:val="dashSmallGap" w:sz="4" w:space="1" w:color="auto"/>
          <w:left w:val="dashSmallGap" w:sz="4" w:space="4" w:color="auto"/>
          <w:bottom w:val="dashSmallGap" w:sz="4" w:space="1" w:color="auto"/>
          <w:right w:val="dashSmallGap" w:sz="4" w:space="4" w:color="auto"/>
        </w:pBdr>
        <w:jc w:val="both"/>
        <w:rPr>
          <w:rFonts w:cs="Arial"/>
          <w:sz w:val="24"/>
        </w:rPr>
      </w:pPr>
    </w:p>
    <w:p w:rsidR="000A211A" w:rsidRPr="000A211A" w:rsidRDefault="000A211A" w:rsidP="000A211A">
      <w:pPr>
        <w:pStyle w:val="Recuodecorpodetexto"/>
        <w:jc w:val="both"/>
        <w:rPr>
          <w:rFonts w:cs="Arial"/>
          <w:b/>
          <w:color w:val="FF0000"/>
          <w:sz w:val="24"/>
        </w:rPr>
      </w:pPr>
      <w:r w:rsidRPr="000A211A">
        <w:rPr>
          <w:rFonts w:cs="Arial"/>
          <w:b/>
          <w:color w:val="FF0000"/>
          <w:sz w:val="24"/>
        </w:rPr>
        <w:t xml:space="preserve">(COLOCAR AQUI A FIGURA </w:t>
      </w:r>
      <w:r>
        <w:rPr>
          <w:rFonts w:cs="Arial"/>
          <w:b/>
          <w:color w:val="FF0000"/>
          <w:sz w:val="24"/>
        </w:rPr>
        <w:t>4</w:t>
      </w:r>
      <w:r w:rsidRPr="000A211A">
        <w:rPr>
          <w:rFonts w:cs="Arial"/>
          <w:b/>
          <w:color w:val="FF0000"/>
          <w:sz w:val="24"/>
        </w:rPr>
        <w:t>)</w:t>
      </w:r>
    </w:p>
    <w:p w:rsidR="000A211A" w:rsidRDefault="000A211A" w:rsidP="000A211A">
      <w:pPr>
        <w:pStyle w:val="Recuodecorpodetexto"/>
        <w:pBdr>
          <w:top w:val="dashSmallGap" w:sz="4" w:space="1" w:color="auto"/>
          <w:left w:val="dashSmallGap" w:sz="4" w:space="4" w:color="auto"/>
          <w:bottom w:val="dashSmallGap" w:sz="4" w:space="1" w:color="auto"/>
          <w:right w:val="dashSmallGap" w:sz="4" w:space="4" w:color="auto"/>
        </w:pBdr>
        <w:jc w:val="both"/>
        <w:rPr>
          <w:rFonts w:cs="Arial"/>
          <w:sz w:val="24"/>
        </w:rPr>
      </w:pPr>
    </w:p>
    <w:p w:rsidR="000A211A" w:rsidRDefault="000A211A" w:rsidP="000A211A">
      <w:pPr>
        <w:pStyle w:val="Recuodecorpodetexto"/>
        <w:pBdr>
          <w:top w:val="dashSmallGap" w:sz="4" w:space="1" w:color="auto"/>
          <w:left w:val="dashSmallGap" w:sz="4" w:space="4" w:color="auto"/>
          <w:bottom w:val="dashSmallGap" w:sz="4" w:space="1" w:color="auto"/>
          <w:right w:val="dashSmallGap" w:sz="4" w:space="4" w:color="auto"/>
        </w:pBdr>
        <w:jc w:val="both"/>
        <w:rPr>
          <w:rFonts w:cs="Arial"/>
          <w:sz w:val="24"/>
        </w:rPr>
      </w:pPr>
    </w:p>
    <w:p w:rsidR="000A211A" w:rsidRPr="00735C45" w:rsidRDefault="000A211A" w:rsidP="000A211A">
      <w:pPr>
        <w:pStyle w:val="Recuodecorpodetexto"/>
        <w:pBdr>
          <w:top w:val="dashSmallGap" w:sz="4" w:space="1" w:color="auto"/>
          <w:left w:val="dashSmallGap" w:sz="4" w:space="4" w:color="auto"/>
          <w:bottom w:val="dashSmallGap" w:sz="4" w:space="1" w:color="auto"/>
          <w:right w:val="dashSmallGap" w:sz="4" w:space="4" w:color="auto"/>
        </w:pBdr>
        <w:jc w:val="both"/>
        <w:rPr>
          <w:rFonts w:cs="Arial"/>
          <w:sz w:val="24"/>
        </w:rPr>
      </w:pPr>
      <w:r w:rsidRPr="00735C45">
        <w:rPr>
          <w:rFonts w:cs="Arial"/>
          <w:sz w:val="24"/>
        </w:rPr>
        <w:t xml:space="preserve">Além disso, a OMS estima que metade de todas as anemias na região seja causada pela deficiência de ferro. A organização afirma ainda que a prevalência de anemia por deficiência de ferro nos países em desenvolvimento é 2,5 vezes maior que outros tipos de anemia. </w:t>
      </w:r>
    </w:p>
    <w:p w:rsidR="000A211A" w:rsidRPr="00735C45" w:rsidRDefault="000A211A" w:rsidP="000A211A">
      <w:pPr>
        <w:pStyle w:val="Recuodecorpodetexto"/>
        <w:pBdr>
          <w:top w:val="dashSmallGap" w:sz="4" w:space="1" w:color="auto"/>
          <w:left w:val="dashSmallGap" w:sz="4" w:space="4" w:color="auto"/>
          <w:bottom w:val="dashSmallGap" w:sz="4" w:space="1" w:color="auto"/>
          <w:right w:val="dashSmallGap" w:sz="4" w:space="4" w:color="auto"/>
        </w:pBdr>
        <w:jc w:val="both"/>
        <w:rPr>
          <w:rFonts w:cs="Arial"/>
          <w:sz w:val="24"/>
        </w:rPr>
      </w:pPr>
      <w:r w:rsidRPr="00735C45">
        <w:rPr>
          <w:rFonts w:cs="Arial"/>
          <w:sz w:val="24"/>
        </w:rPr>
        <w:tab/>
        <w:t xml:space="preserve">A revisão sistemática mostrou que a anemia é classificada como um problema severo de saúde pública entre as crianças brasileiras. Do total de 68 estudos identificados sobre o tema, 19 resultaram em prevalência moderada </w:t>
      </w:r>
      <w:r w:rsidRPr="00735C45">
        <w:rPr>
          <w:rFonts w:cs="Arial"/>
          <w:sz w:val="24"/>
        </w:rPr>
        <w:lastRenderedPageBreak/>
        <w:t>(entre 20% e 39,9%) enquanto que 39 observaram prevalência severa da doença (≥40%)</w:t>
      </w:r>
      <w:r w:rsidRPr="000A211A">
        <w:rPr>
          <w:rFonts w:cs="Arial"/>
          <w:sz w:val="24"/>
          <w:vertAlign w:val="superscript"/>
        </w:rPr>
        <w:t>[3]</w:t>
      </w:r>
      <w:r w:rsidRPr="00735C45">
        <w:rPr>
          <w:rFonts w:cs="Arial"/>
          <w:sz w:val="24"/>
        </w:rPr>
        <w:t xml:space="preserve">.    </w:t>
      </w:r>
    </w:p>
    <w:p w:rsidR="000A211A" w:rsidRPr="003E2949" w:rsidRDefault="000A211A" w:rsidP="000A211A">
      <w:pPr>
        <w:pStyle w:val="Recuodecorpodetexto"/>
        <w:jc w:val="center"/>
        <w:rPr>
          <w:rFonts w:cs="Tahoma"/>
          <w:color w:val="403152"/>
          <w:sz w:val="24"/>
        </w:rPr>
      </w:pPr>
    </w:p>
    <w:p w:rsidR="000A211A" w:rsidRPr="003E2949" w:rsidRDefault="000A211A" w:rsidP="000A211A">
      <w:pPr>
        <w:pStyle w:val="Body1"/>
        <w:spacing w:line="276" w:lineRule="auto"/>
        <w:jc w:val="center"/>
        <w:rPr>
          <w:rFonts w:ascii="Trebuchet MS" w:eastAsia="Calibri" w:hAnsi="Trebuchet MS" w:cs="Tahoma"/>
          <w:color w:val="403152"/>
          <w:szCs w:val="24"/>
          <w:lang w:eastAsia="en-US"/>
        </w:rPr>
      </w:pPr>
      <w:r w:rsidRPr="003E2949">
        <w:rPr>
          <w:rFonts w:ascii="Trebuchet MS" w:eastAsia="Calibri" w:hAnsi="Trebuchet MS" w:cs="Tahoma"/>
          <w:color w:val="403152"/>
          <w:szCs w:val="24"/>
          <w:lang w:eastAsia="en-US"/>
        </w:rPr>
        <w:t>FOLATO e VITAMINA B</w:t>
      </w:r>
      <w:r w:rsidRPr="000A211A">
        <w:rPr>
          <w:rFonts w:ascii="Trebuchet MS" w:eastAsia="Calibri" w:hAnsi="Trebuchet MS" w:cs="Tahoma"/>
          <w:color w:val="403152"/>
          <w:szCs w:val="24"/>
          <w:vertAlign w:val="subscript"/>
          <w:lang w:eastAsia="en-US"/>
        </w:rPr>
        <w:t>12</w:t>
      </w:r>
    </w:p>
    <w:p w:rsidR="000A211A" w:rsidRPr="00735C45" w:rsidRDefault="000A211A" w:rsidP="000A211A">
      <w:pPr>
        <w:pStyle w:val="Body1"/>
        <w:spacing w:line="276" w:lineRule="auto"/>
        <w:jc w:val="both"/>
        <w:rPr>
          <w:rFonts w:ascii="Trebuchet MS" w:hAnsi="Trebuchet MS" w:cs="Arial"/>
          <w:szCs w:val="24"/>
        </w:rPr>
      </w:pPr>
      <w:r w:rsidRPr="00735C45">
        <w:rPr>
          <w:rFonts w:ascii="Trebuchet MS" w:hAnsi="Trebuchet MS" w:cs="Arial"/>
          <w:szCs w:val="24"/>
        </w:rPr>
        <w:tab/>
        <w:t>O folato e a vitamina B</w:t>
      </w:r>
      <w:r w:rsidRPr="000A211A">
        <w:rPr>
          <w:rFonts w:ascii="Trebuchet MS" w:hAnsi="Trebuchet MS" w:cs="Arial"/>
          <w:szCs w:val="24"/>
          <w:vertAlign w:val="subscript"/>
        </w:rPr>
        <w:t>12</w:t>
      </w:r>
      <w:r w:rsidRPr="00735C45">
        <w:rPr>
          <w:rFonts w:ascii="Trebuchet MS" w:hAnsi="Trebuchet MS" w:cs="Arial"/>
          <w:szCs w:val="24"/>
        </w:rPr>
        <w:t xml:space="preserve"> compartilham funções na metilação do DNA e síntese de ácido nucleico. Baixos níveis de folato em mulheres em idade fértil aumentam o risco para defeitos no tubo neural. A deficiência de vitamina B</w:t>
      </w:r>
      <w:r w:rsidRPr="000A211A">
        <w:rPr>
          <w:rFonts w:ascii="Trebuchet MS" w:hAnsi="Trebuchet MS" w:cs="Arial"/>
          <w:szCs w:val="24"/>
          <w:vertAlign w:val="subscript"/>
        </w:rPr>
        <w:t>12</w:t>
      </w:r>
      <w:r w:rsidRPr="00735C45">
        <w:rPr>
          <w:rFonts w:ascii="Trebuchet MS" w:hAnsi="Trebuchet MS" w:cs="Arial"/>
          <w:szCs w:val="24"/>
        </w:rPr>
        <w:t xml:space="preserve"> está associada a problemas hematológicos e neurológicos em adultos</w:t>
      </w:r>
      <w:r w:rsidRPr="000A211A">
        <w:rPr>
          <w:rFonts w:ascii="Trebuchet MS" w:hAnsi="Trebuchet MS" w:cs="Arial"/>
          <w:szCs w:val="24"/>
          <w:vertAlign w:val="superscript"/>
        </w:rPr>
        <w:t>[3,4]</w:t>
      </w:r>
      <w:r w:rsidRPr="00735C45">
        <w:rPr>
          <w:rFonts w:ascii="Trebuchet MS" w:hAnsi="Trebuchet MS" w:cs="Arial"/>
          <w:szCs w:val="24"/>
        </w:rPr>
        <w:t>.</w:t>
      </w:r>
    </w:p>
    <w:p w:rsidR="000A211A" w:rsidRPr="00735C45" w:rsidRDefault="000A211A" w:rsidP="000A211A">
      <w:pPr>
        <w:pStyle w:val="Body1"/>
        <w:spacing w:line="276" w:lineRule="auto"/>
        <w:jc w:val="both"/>
        <w:rPr>
          <w:rFonts w:ascii="Trebuchet MS" w:hAnsi="Trebuchet MS" w:cs="Arial"/>
          <w:szCs w:val="24"/>
        </w:rPr>
      </w:pPr>
      <w:r w:rsidRPr="00735C45">
        <w:rPr>
          <w:rFonts w:ascii="Trebuchet MS" w:hAnsi="Trebuchet MS" w:cs="Arial"/>
          <w:szCs w:val="24"/>
        </w:rPr>
        <w:tab/>
        <w:t>Um estudo realizado em 1992 no Brasil, que verificou os níveis de nutrientes em gestantes, sugeriu que 44% dos indivíduos apresentavam deficiência de folato e 0% de vitamina B</w:t>
      </w:r>
      <w:r w:rsidRPr="000A211A">
        <w:rPr>
          <w:rFonts w:ascii="Trebuchet MS" w:hAnsi="Trebuchet MS" w:cs="Arial"/>
          <w:szCs w:val="24"/>
          <w:vertAlign w:val="subscript"/>
        </w:rPr>
        <w:t>12</w:t>
      </w:r>
      <w:r w:rsidRPr="000A211A">
        <w:rPr>
          <w:rFonts w:ascii="Trebuchet MS" w:hAnsi="Trebuchet MS" w:cs="Arial"/>
          <w:szCs w:val="24"/>
          <w:vertAlign w:val="superscript"/>
        </w:rPr>
        <w:t>[3]</w:t>
      </w:r>
      <w:r w:rsidRPr="00735C45">
        <w:rPr>
          <w:rFonts w:ascii="Trebuchet MS" w:hAnsi="Trebuchet MS" w:cs="Arial"/>
          <w:szCs w:val="24"/>
        </w:rPr>
        <w:t xml:space="preserve">. </w:t>
      </w:r>
    </w:p>
    <w:p w:rsidR="000A211A" w:rsidRPr="00735C45" w:rsidRDefault="000A211A" w:rsidP="000A211A">
      <w:pPr>
        <w:pStyle w:val="Body1"/>
        <w:spacing w:line="276" w:lineRule="auto"/>
        <w:jc w:val="both"/>
        <w:rPr>
          <w:rFonts w:ascii="Trebuchet MS" w:hAnsi="Trebuchet MS" w:cs="Arial"/>
          <w:szCs w:val="24"/>
        </w:rPr>
      </w:pPr>
      <w:r w:rsidRPr="00735C45">
        <w:rPr>
          <w:rFonts w:ascii="Trebuchet MS" w:hAnsi="Trebuchet MS" w:cs="Arial"/>
          <w:szCs w:val="24"/>
        </w:rPr>
        <w:tab/>
        <w:t xml:space="preserve">Uma investigação mais recente (2003) concluiu que 37% de 74 gestantes sofriam deficiência de folato. Entretanto, os valores não podem ser extrapolados para a população, já que o país não possui dados representativos para cada um dos subgrupos vulneráveis. </w:t>
      </w:r>
    </w:p>
    <w:p w:rsidR="000A211A" w:rsidRPr="00735C45" w:rsidRDefault="000A211A" w:rsidP="000A211A">
      <w:pPr>
        <w:pStyle w:val="Body1"/>
        <w:spacing w:line="276" w:lineRule="auto"/>
        <w:jc w:val="both"/>
        <w:rPr>
          <w:rFonts w:ascii="Trebuchet MS" w:hAnsi="Trebuchet MS" w:cs="Arial"/>
          <w:szCs w:val="24"/>
        </w:rPr>
      </w:pPr>
      <w:r w:rsidRPr="00735C45">
        <w:rPr>
          <w:rFonts w:ascii="Trebuchet MS" w:hAnsi="Trebuchet MS" w:cs="Arial"/>
          <w:szCs w:val="24"/>
        </w:rPr>
        <w:tab/>
        <w:t>Não foram observados estudos que averiguaram a adequação de folato após a publicação da Resolução RDC nº 344 da Agência Nacional de Vigilância Sanitária (ANVISA), que tornou obrigatória a fortificação de farinhas de trigo e de milho com ferro e ácido fólico, a partir de junho de 2004.</w:t>
      </w:r>
    </w:p>
    <w:p w:rsidR="000A211A" w:rsidRDefault="000A211A" w:rsidP="000A211A">
      <w:pPr>
        <w:pStyle w:val="Body1"/>
        <w:spacing w:line="276" w:lineRule="auto"/>
        <w:jc w:val="both"/>
        <w:rPr>
          <w:rFonts w:ascii="Trebuchet MS" w:hAnsi="Trebuchet MS" w:cs="Arial"/>
          <w:szCs w:val="24"/>
        </w:rPr>
      </w:pPr>
    </w:p>
    <w:p w:rsidR="000A211A" w:rsidRDefault="000A211A" w:rsidP="000A211A">
      <w:pPr>
        <w:pStyle w:val="Body1"/>
        <w:spacing w:line="276" w:lineRule="auto"/>
        <w:jc w:val="both"/>
        <w:rPr>
          <w:rFonts w:ascii="Trebuchet MS" w:hAnsi="Trebuchet MS" w:cs="Arial"/>
          <w:szCs w:val="24"/>
        </w:rPr>
      </w:pPr>
    </w:p>
    <w:p w:rsidR="000A211A" w:rsidRPr="003E2949" w:rsidRDefault="000A211A" w:rsidP="000A211A">
      <w:pPr>
        <w:pStyle w:val="Body1"/>
        <w:pBdr>
          <w:top w:val="double" w:sz="4" w:space="1" w:color="auto"/>
          <w:left w:val="double" w:sz="4" w:space="4" w:color="auto"/>
          <w:bottom w:val="double" w:sz="4" w:space="1" w:color="auto"/>
          <w:right w:val="double" w:sz="4" w:space="4" w:color="auto"/>
        </w:pBdr>
        <w:spacing w:line="276" w:lineRule="auto"/>
        <w:jc w:val="center"/>
        <w:rPr>
          <w:rFonts w:ascii="Trebuchet MS" w:eastAsia="Calibri" w:hAnsi="Trebuchet MS" w:cs="Tahoma"/>
          <w:color w:val="403152"/>
          <w:szCs w:val="24"/>
          <w:lang w:eastAsia="en-US"/>
        </w:rPr>
      </w:pPr>
      <w:r w:rsidRPr="003E2949">
        <w:rPr>
          <w:rFonts w:ascii="Trebuchet MS" w:eastAsia="Calibri" w:hAnsi="Trebuchet MS" w:cs="Tahoma"/>
          <w:color w:val="403152"/>
          <w:szCs w:val="24"/>
          <w:lang w:eastAsia="en-US"/>
        </w:rPr>
        <w:t>ZINCO e COBRE</w:t>
      </w:r>
    </w:p>
    <w:p w:rsidR="000A211A" w:rsidRPr="00735C45" w:rsidRDefault="000A211A" w:rsidP="000A211A">
      <w:pPr>
        <w:pStyle w:val="Body1"/>
        <w:pBdr>
          <w:top w:val="double" w:sz="4" w:space="1" w:color="auto"/>
          <w:left w:val="double" w:sz="4" w:space="4" w:color="auto"/>
          <w:bottom w:val="double" w:sz="4" w:space="1" w:color="auto"/>
          <w:right w:val="double" w:sz="4" w:space="4" w:color="auto"/>
        </w:pBdr>
        <w:spacing w:line="276" w:lineRule="auto"/>
        <w:jc w:val="both"/>
        <w:rPr>
          <w:rFonts w:ascii="Trebuchet MS" w:hAnsi="Trebuchet MS" w:cs="Arial"/>
          <w:szCs w:val="24"/>
        </w:rPr>
      </w:pPr>
      <w:r w:rsidRPr="00735C45">
        <w:rPr>
          <w:rFonts w:ascii="Trebuchet MS" w:hAnsi="Trebuchet MS" w:cs="Arial"/>
          <w:szCs w:val="24"/>
        </w:rPr>
        <w:tab/>
        <w:t>Informações obtidas pelos pesquisadores do INTA sugerem que 30% a 50% das crianças latino-americanas apresentam risco de ingestão inadequada de zinco</w:t>
      </w:r>
      <w:r w:rsidRPr="000A211A">
        <w:rPr>
          <w:rFonts w:ascii="Trebuchet MS" w:hAnsi="Trebuchet MS" w:cs="Arial"/>
          <w:szCs w:val="24"/>
          <w:vertAlign w:val="superscript"/>
        </w:rPr>
        <w:t>[3]</w:t>
      </w:r>
      <w:r w:rsidRPr="00735C45">
        <w:rPr>
          <w:rFonts w:ascii="Trebuchet MS" w:hAnsi="Trebuchet MS" w:cs="Arial"/>
          <w:szCs w:val="24"/>
        </w:rPr>
        <w:t>. O mineral participa ativamente dos processos metabólicos, sendo que sua deficiência está associada a múltiplas alterações fisiológicas</w:t>
      </w:r>
      <w:r w:rsidRPr="000A211A">
        <w:rPr>
          <w:rFonts w:ascii="Trebuchet MS" w:hAnsi="Trebuchet MS" w:cs="Arial"/>
          <w:szCs w:val="24"/>
          <w:vertAlign w:val="superscript"/>
        </w:rPr>
        <w:t>[4]</w:t>
      </w:r>
      <w:r w:rsidRPr="00735C45">
        <w:rPr>
          <w:rFonts w:ascii="Trebuchet MS" w:hAnsi="Trebuchet MS" w:cs="Arial"/>
          <w:szCs w:val="24"/>
        </w:rPr>
        <w:t>.</w:t>
      </w:r>
    </w:p>
    <w:p w:rsidR="000A211A" w:rsidRPr="00735C45" w:rsidRDefault="000A211A" w:rsidP="000A211A">
      <w:pPr>
        <w:pStyle w:val="Body1"/>
        <w:pBdr>
          <w:top w:val="double" w:sz="4" w:space="1" w:color="auto"/>
          <w:left w:val="double" w:sz="4" w:space="4" w:color="auto"/>
          <w:bottom w:val="double" w:sz="4" w:space="1" w:color="auto"/>
          <w:right w:val="double" w:sz="4" w:space="4" w:color="auto"/>
        </w:pBdr>
        <w:spacing w:line="276" w:lineRule="auto"/>
        <w:jc w:val="both"/>
        <w:rPr>
          <w:rFonts w:ascii="Trebuchet MS" w:hAnsi="Trebuchet MS" w:cs="Arial"/>
          <w:szCs w:val="24"/>
        </w:rPr>
      </w:pPr>
      <w:r w:rsidRPr="00735C45">
        <w:rPr>
          <w:rFonts w:ascii="Trebuchet MS" w:hAnsi="Trebuchet MS" w:cs="Arial"/>
          <w:szCs w:val="24"/>
        </w:rPr>
        <w:tab/>
        <w:t xml:space="preserve">No Brasil, não existem dados representativos para os diferentes grupos populacionais com relação aos níveis de zinco e cobre. Entretanto, o resultado de uma pesquisa que verificou o estado nutricional de crianças em idade escolar (7 a 15 anos) vulneráveis socioeconomicamente, mostrou que a deficiência de zinco era de 7% (meninas &lt;60 </w:t>
      </w:r>
      <w:proofErr w:type="spellStart"/>
      <w:r w:rsidRPr="00735C45">
        <w:rPr>
          <w:rFonts w:ascii="Trebuchet MS" w:hAnsi="Trebuchet MS" w:cs="Arial"/>
          <w:szCs w:val="24"/>
        </w:rPr>
        <w:t>μg</w:t>
      </w:r>
      <w:proofErr w:type="spellEnd"/>
      <w:r w:rsidRPr="00735C45">
        <w:rPr>
          <w:rFonts w:ascii="Trebuchet MS" w:hAnsi="Trebuchet MS" w:cs="Arial"/>
          <w:szCs w:val="24"/>
        </w:rPr>
        <w:t xml:space="preserve">/dL e meninos &lt;65 </w:t>
      </w:r>
      <w:proofErr w:type="spellStart"/>
      <w:r w:rsidRPr="00735C45">
        <w:rPr>
          <w:rFonts w:ascii="Trebuchet MS" w:hAnsi="Trebuchet MS" w:cs="Arial"/>
          <w:szCs w:val="24"/>
        </w:rPr>
        <w:t>μg</w:t>
      </w:r>
      <w:proofErr w:type="spellEnd"/>
      <w:r w:rsidRPr="00735C45">
        <w:rPr>
          <w:rFonts w:ascii="Trebuchet MS" w:hAnsi="Trebuchet MS" w:cs="Arial"/>
          <w:szCs w:val="24"/>
        </w:rPr>
        <w:t>/dL)</w:t>
      </w:r>
      <w:r w:rsidRPr="000A211A">
        <w:rPr>
          <w:rFonts w:ascii="Trebuchet MS" w:hAnsi="Trebuchet MS" w:cs="Arial"/>
          <w:szCs w:val="24"/>
          <w:vertAlign w:val="superscript"/>
        </w:rPr>
        <w:t>[3]</w:t>
      </w:r>
      <w:r w:rsidRPr="00735C45">
        <w:rPr>
          <w:rFonts w:ascii="Trebuchet MS" w:hAnsi="Trebuchet MS" w:cs="Arial"/>
          <w:szCs w:val="24"/>
        </w:rPr>
        <w:t xml:space="preserve">. </w:t>
      </w:r>
    </w:p>
    <w:p w:rsidR="000A211A" w:rsidRPr="00735C45" w:rsidRDefault="000A211A" w:rsidP="000A211A">
      <w:pPr>
        <w:pStyle w:val="Body1"/>
        <w:pBdr>
          <w:top w:val="double" w:sz="4" w:space="1" w:color="auto"/>
          <w:left w:val="double" w:sz="4" w:space="4" w:color="auto"/>
          <w:bottom w:val="double" w:sz="4" w:space="1" w:color="auto"/>
          <w:right w:val="double" w:sz="4" w:space="4" w:color="auto"/>
        </w:pBdr>
        <w:spacing w:line="276" w:lineRule="auto"/>
        <w:jc w:val="both"/>
        <w:rPr>
          <w:rFonts w:ascii="Trebuchet MS" w:hAnsi="Trebuchet MS" w:cs="Arial"/>
          <w:szCs w:val="24"/>
        </w:rPr>
      </w:pPr>
      <w:r w:rsidRPr="00735C45">
        <w:rPr>
          <w:rFonts w:ascii="Trebuchet MS" w:hAnsi="Trebuchet MS" w:cs="Arial"/>
          <w:szCs w:val="24"/>
        </w:rPr>
        <w:tab/>
        <w:t xml:space="preserve">O mesmo estudo apontou 4% de deficiência de cobre entre meninas (&lt; 65 </w:t>
      </w:r>
      <w:proofErr w:type="spellStart"/>
      <w:r w:rsidRPr="00735C45">
        <w:rPr>
          <w:rFonts w:ascii="Trebuchet MS" w:hAnsi="Trebuchet MS" w:cs="Arial"/>
          <w:szCs w:val="24"/>
        </w:rPr>
        <w:t>μg</w:t>
      </w:r>
      <w:proofErr w:type="spellEnd"/>
      <w:r w:rsidRPr="00735C45">
        <w:rPr>
          <w:rFonts w:ascii="Trebuchet MS" w:hAnsi="Trebuchet MS" w:cs="Arial"/>
          <w:szCs w:val="24"/>
        </w:rPr>
        <w:t xml:space="preserve">/dL) e 3% entre meninos (&lt;70 </w:t>
      </w:r>
      <w:proofErr w:type="spellStart"/>
      <w:r w:rsidRPr="00735C45">
        <w:rPr>
          <w:rFonts w:ascii="Trebuchet MS" w:hAnsi="Trebuchet MS" w:cs="Arial"/>
          <w:szCs w:val="24"/>
        </w:rPr>
        <w:t>μg</w:t>
      </w:r>
      <w:proofErr w:type="spellEnd"/>
      <w:r w:rsidRPr="00735C45">
        <w:rPr>
          <w:rFonts w:ascii="Trebuchet MS" w:hAnsi="Trebuchet MS" w:cs="Arial"/>
          <w:szCs w:val="24"/>
        </w:rPr>
        <w:t xml:space="preserve">/dL). O cobre é considerado um elemento traço essencial para a </w:t>
      </w:r>
      <w:proofErr w:type="spellStart"/>
      <w:r w:rsidRPr="00735C45">
        <w:rPr>
          <w:rFonts w:ascii="Trebuchet MS" w:hAnsi="Trebuchet MS" w:cs="Arial"/>
          <w:szCs w:val="24"/>
        </w:rPr>
        <w:t>eritropoiese</w:t>
      </w:r>
      <w:proofErr w:type="spellEnd"/>
      <w:r w:rsidRPr="00735C45">
        <w:rPr>
          <w:rFonts w:ascii="Trebuchet MS" w:hAnsi="Trebuchet MS" w:cs="Arial"/>
          <w:szCs w:val="24"/>
        </w:rPr>
        <w:t>, além de atuar como cofator enzimático</w:t>
      </w:r>
      <w:r w:rsidRPr="000A211A">
        <w:rPr>
          <w:rFonts w:ascii="Trebuchet MS" w:hAnsi="Trebuchet MS" w:cs="Arial"/>
          <w:szCs w:val="24"/>
          <w:vertAlign w:val="superscript"/>
        </w:rPr>
        <w:t>[4]</w:t>
      </w:r>
      <w:r w:rsidRPr="00735C45">
        <w:rPr>
          <w:rFonts w:ascii="Trebuchet MS" w:hAnsi="Trebuchet MS" w:cs="Arial"/>
          <w:szCs w:val="24"/>
        </w:rPr>
        <w:t xml:space="preserve">. </w:t>
      </w:r>
    </w:p>
    <w:p w:rsidR="000A211A" w:rsidRPr="003E2949" w:rsidRDefault="000A211A" w:rsidP="000A211A">
      <w:pPr>
        <w:pStyle w:val="Body1"/>
        <w:spacing w:line="276" w:lineRule="auto"/>
        <w:jc w:val="center"/>
        <w:rPr>
          <w:rFonts w:ascii="Trebuchet MS" w:eastAsia="Calibri" w:hAnsi="Trebuchet MS" w:cs="Tahoma"/>
          <w:color w:val="403152"/>
          <w:szCs w:val="24"/>
          <w:lang w:eastAsia="en-US"/>
        </w:rPr>
      </w:pPr>
    </w:p>
    <w:p w:rsidR="000A211A" w:rsidRPr="003E2949" w:rsidRDefault="000A211A" w:rsidP="000A211A">
      <w:pPr>
        <w:pStyle w:val="Body1"/>
        <w:spacing w:line="276" w:lineRule="auto"/>
        <w:jc w:val="center"/>
        <w:rPr>
          <w:rFonts w:ascii="Trebuchet MS" w:eastAsia="Calibri" w:hAnsi="Trebuchet MS" w:cs="Tahoma"/>
          <w:color w:val="403152"/>
          <w:szCs w:val="24"/>
          <w:lang w:eastAsia="en-US"/>
        </w:rPr>
      </w:pPr>
      <w:r w:rsidRPr="003E2949">
        <w:rPr>
          <w:rFonts w:ascii="Trebuchet MS" w:eastAsia="Calibri" w:hAnsi="Trebuchet MS" w:cs="Tahoma"/>
          <w:color w:val="403152"/>
          <w:szCs w:val="24"/>
          <w:lang w:eastAsia="en-US"/>
        </w:rPr>
        <w:t>IODO</w:t>
      </w:r>
    </w:p>
    <w:p w:rsidR="000A211A" w:rsidRPr="00735C45" w:rsidRDefault="000A211A" w:rsidP="000A211A">
      <w:pPr>
        <w:pStyle w:val="Body1"/>
        <w:spacing w:line="276" w:lineRule="auto"/>
        <w:jc w:val="both"/>
        <w:rPr>
          <w:rFonts w:ascii="Trebuchet MS" w:hAnsi="Trebuchet MS" w:cs="Arial"/>
          <w:szCs w:val="24"/>
        </w:rPr>
      </w:pPr>
      <w:r w:rsidRPr="00735C45">
        <w:rPr>
          <w:rFonts w:ascii="Trebuchet MS" w:hAnsi="Trebuchet MS" w:cs="Arial"/>
          <w:szCs w:val="24"/>
        </w:rPr>
        <w:tab/>
        <w:t>Foram detectados 3 diferentes estudos no Brasil conduzidos com crianças em idade escolar para verificar os níveis de iodo</w:t>
      </w:r>
      <w:r w:rsidRPr="000A211A">
        <w:rPr>
          <w:rFonts w:ascii="Trebuchet MS" w:hAnsi="Trebuchet MS" w:cs="Arial"/>
          <w:szCs w:val="24"/>
          <w:vertAlign w:val="superscript"/>
        </w:rPr>
        <w:t>[3]</w:t>
      </w:r>
      <w:r w:rsidRPr="00735C45">
        <w:rPr>
          <w:rFonts w:ascii="Trebuchet MS" w:hAnsi="Trebuchet MS" w:cs="Arial"/>
          <w:szCs w:val="24"/>
        </w:rPr>
        <w:t xml:space="preserve">. Um deles, realizado em 2010, apresentou 0% de deficiência do mineral em uma amostra de 300 crianças (excreção urinária &lt;100 </w:t>
      </w:r>
      <w:proofErr w:type="spellStart"/>
      <w:r w:rsidRPr="00735C45">
        <w:rPr>
          <w:rFonts w:ascii="Trebuchet MS" w:hAnsi="Trebuchet MS" w:cs="Arial"/>
          <w:szCs w:val="24"/>
        </w:rPr>
        <w:t>μg</w:t>
      </w:r>
      <w:proofErr w:type="spellEnd"/>
      <w:r w:rsidRPr="00735C45">
        <w:rPr>
          <w:rFonts w:ascii="Trebuchet MS" w:hAnsi="Trebuchet MS" w:cs="Arial"/>
          <w:szCs w:val="24"/>
        </w:rPr>
        <w:t xml:space="preserve">/L). Outra pesquisa, publicada em 2004, avaliou as concentrações de iodo na tireoide e na urina de 844 jovens (6 </w:t>
      </w:r>
      <w:r w:rsidRPr="00735C45">
        <w:rPr>
          <w:rFonts w:ascii="Trebuchet MS" w:hAnsi="Trebuchet MS" w:cs="Arial"/>
          <w:szCs w:val="24"/>
        </w:rPr>
        <w:lastRenderedPageBreak/>
        <w:t xml:space="preserve">a 14 anos) e apontou 0% de deficiência. A ausência de deficiência do mineral foi confirmada ainda pelo projeto </w:t>
      </w:r>
      <w:proofErr w:type="spellStart"/>
      <w:r w:rsidRPr="00735C45">
        <w:rPr>
          <w:rFonts w:ascii="Trebuchet MS" w:hAnsi="Trebuchet MS" w:cs="Arial"/>
          <w:szCs w:val="24"/>
        </w:rPr>
        <w:t>Thyroid</w:t>
      </w:r>
      <w:proofErr w:type="spellEnd"/>
      <w:r w:rsidRPr="00735C45">
        <w:rPr>
          <w:rFonts w:ascii="Trebuchet MS" w:hAnsi="Trebuchet MS" w:cs="Arial"/>
          <w:szCs w:val="24"/>
        </w:rPr>
        <w:t xml:space="preserve"> </w:t>
      </w:r>
      <w:proofErr w:type="spellStart"/>
      <w:r w:rsidRPr="00735C45">
        <w:rPr>
          <w:rFonts w:ascii="Trebuchet MS" w:hAnsi="Trebuchet MS" w:cs="Arial"/>
          <w:szCs w:val="24"/>
        </w:rPr>
        <w:t>Mobil</w:t>
      </w:r>
      <w:proofErr w:type="spellEnd"/>
      <w:r w:rsidRPr="00735C45">
        <w:rPr>
          <w:rFonts w:ascii="Trebuchet MS" w:hAnsi="Trebuchet MS" w:cs="Arial"/>
          <w:szCs w:val="24"/>
        </w:rPr>
        <w:t xml:space="preserve">. </w:t>
      </w:r>
    </w:p>
    <w:p w:rsidR="000A211A" w:rsidRPr="00735C45" w:rsidRDefault="000A211A" w:rsidP="000A211A">
      <w:pPr>
        <w:pStyle w:val="Body1"/>
        <w:spacing w:line="276" w:lineRule="auto"/>
        <w:jc w:val="both"/>
        <w:rPr>
          <w:rFonts w:ascii="Trebuchet MS" w:hAnsi="Trebuchet MS" w:cs="Arial"/>
          <w:szCs w:val="24"/>
        </w:rPr>
      </w:pPr>
      <w:r w:rsidRPr="00735C45">
        <w:rPr>
          <w:rFonts w:ascii="Trebuchet MS" w:hAnsi="Trebuchet MS" w:cs="Arial"/>
          <w:szCs w:val="24"/>
        </w:rPr>
        <w:tab/>
        <w:t>O iodo é fundamental para o desenvolvimento do sistema nervoso central e prevenção de cretinismo e bócio. A carência do mineral está associada à redução da capacidade educacional, diminuição da produtividade e vulnerabilidade econômica e social</w:t>
      </w:r>
      <w:r w:rsidRPr="000A211A">
        <w:rPr>
          <w:rFonts w:ascii="Trebuchet MS" w:hAnsi="Trebuchet MS" w:cs="Arial"/>
          <w:szCs w:val="24"/>
          <w:vertAlign w:val="superscript"/>
        </w:rPr>
        <w:t>[3,4]</w:t>
      </w:r>
      <w:r w:rsidRPr="00735C45">
        <w:rPr>
          <w:rFonts w:ascii="Trebuchet MS" w:hAnsi="Trebuchet MS" w:cs="Arial"/>
          <w:szCs w:val="24"/>
        </w:rPr>
        <w:t>.</w:t>
      </w:r>
    </w:p>
    <w:p w:rsidR="000A211A" w:rsidRPr="00735C45" w:rsidRDefault="000A211A" w:rsidP="000A211A">
      <w:pPr>
        <w:pStyle w:val="Body1"/>
        <w:spacing w:line="276" w:lineRule="auto"/>
        <w:jc w:val="both"/>
        <w:rPr>
          <w:rFonts w:ascii="Trebuchet MS" w:hAnsi="Trebuchet MS" w:cs="Arial"/>
          <w:szCs w:val="24"/>
        </w:rPr>
      </w:pPr>
    </w:p>
    <w:p w:rsidR="000A211A" w:rsidRDefault="000A211A" w:rsidP="000A211A">
      <w:pPr>
        <w:pStyle w:val="Body1"/>
        <w:spacing w:line="276" w:lineRule="auto"/>
        <w:jc w:val="both"/>
        <w:rPr>
          <w:rFonts w:ascii="Trebuchet MS" w:hAnsi="Trebuchet MS" w:cs="Arial"/>
          <w:szCs w:val="24"/>
        </w:rPr>
      </w:pPr>
    </w:p>
    <w:p w:rsidR="000A211A" w:rsidRPr="00735C45" w:rsidRDefault="000A211A" w:rsidP="000A211A">
      <w:pPr>
        <w:pStyle w:val="Body1"/>
        <w:spacing w:line="276" w:lineRule="auto"/>
        <w:jc w:val="both"/>
        <w:rPr>
          <w:rFonts w:ascii="Trebuchet MS" w:hAnsi="Trebuchet MS" w:cs="Arial"/>
          <w:szCs w:val="24"/>
        </w:rPr>
      </w:pPr>
    </w:p>
    <w:p w:rsidR="000A211A" w:rsidRPr="003E2949" w:rsidRDefault="000A211A" w:rsidP="000A211A">
      <w:pPr>
        <w:pStyle w:val="Body1"/>
        <w:pBdr>
          <w:top w:val="double" w:sz="4" w:space="1" w:color="auto"/>
          <w:left w:val="double" w:sz="4" w:space="4" w:color="auto"/>
          <w:bottom w:val="double" w:sz="4" w:space="1" w:color="auto"/>
          <w:right w:val="double" w:sz="4" w:space="4" w:color="auto"/>
        </w:pBdr>
        <w:spacing w:line="276" w:lineRule="auto"/>
        <w:jc w:val="center"/>
        <w:rPr>
          <w:rFonts w:ascii="Trebuchet MS" w:eastAsia="Calibri" w:hAnsi="Trebuchet MS" w:cs="Tahoma"/>
          <w:color w:val="403152"/>
          <w:szCs w:val="24"/>
          <w:lang w:eastAsia="en-US"/>
        </w:rPr>
      </w:pPr>
      <w:r w:rsidRPr="003E2949">
        <w:rPr>
          <w:rFonts w:ascii="Trebuchet MS" w:eastAsia="Calibri" w:hAnsi="Trebuchet MS" w:cs="Tahoma"/>
          <w:color w:val="403152"/>
          <w:szCs w:val="24"/>
          <w:lang w:eastAsia="en-US"/>
        </w:rPr>
        <w:t>TIAMINA</w:t>
      </w:r>
    </w:p>
    <w:p w:rsidR="000A211A" w:rsidRPr="00735C45" w:rsidRDefault="000A211A" w:rsidP="000A211A">
      <w:pPr>
        <w:pStyle w:val="Body1"/>
        <w:pBdr>
          <w:top w:val="double" w:sz="4" w:space="1" w:color="auto"/>
          <w:left w:val="double" w:sz="4" w:space="4" w:color="auto"/>
          <w:bottom w:val="double" w:sz="4" w:space="1" w:color="auto"/>
          <w:right w:val="double" w:sz="4" w:space="4" w:color="auto"/>
        </w:pBdr>
        <w:spacing w:line="276" w:lineRule="auto"/>
        <w:jc w:val="both"/>
        <w:rPr>
          <w:rFonts w:ascii="Trebuchet MS" w:hAnsi="Trebuchet MS" w:cs="Arial"/>
          <w:szCs w:val="24"/>
        </w:rPr>
      </w:pPr>
      <w:r w:rsidRPr="00735C45">
        <w:rPr>
          <w:rFonts w:ascii="Trebuchet MS" w:hAnsi="Trebuchet MS" w:cs="Arial"/>
          <w:szCs w:val="24"/>
        </w:rPr>
        <w:tab/>
        <w:t xml:space="preserve">Em 2010, uma investigação sobre beribéri envolvendo 103 índios da região norte do Amazonas demonstrou uma prevalência de 10% de deficiência de tiamina (28-85 </w:t>
      </w:r>
      <w:proofErr w:type="spellStart"/>
      <w:r w:rsidRPr="00735C45">
        <w:rPr>
          <w:rFonts w:ascii="Trebuchet MS" w:hAnsi="Trebuchet MS" w:cs="Arial"/>
          <w:szCs w:val="24"/>
        </w:rPr>
        <w:t>ng</w:t>
      </w:r>
      <w:proofErr w:type="spellEnd"/>
      <w:r w:rsidRPr="00735C45">
        <w:rPr>
          <w:rFonts w:ascii="Trebuchet MS" w:hAnsi="Trebuchet MS" w:cs="Arial"/>
          <w:szCs w:val="24"/>
        </w:rPr>
        <w:t>/ml)</w:t>
      </w:r>
      <w:r w:rsidRPr="000A211A">
        <w:rPr>
          <w:rFonts w:ascii="Trebuchet MS" w:hAnsi="Trebuchet MS" w:cs="Arial"/>
          <w:szCs w:val="24"/>
          <w:vertAlign w:val="superscript"/>
        </w:rPr>
        <w:t>[3]</w:t>
      </w:r>
      <w:r w:rsidRPr="00735C45">
        <w:rPr>
          <w:rFonts w:ascii="Trebuchet MS" w:hAnsi="Trebuchet MS" w:cs="Arial"/>
          <w:szCs w:val="24"/>
        </w:rPr>
        <w:t>.</w:t>
      </w:r>
    </w:p>
    <w:p w:rsidR="000A211A" w:rsidRPr="00735C45" w:rsidRDefault="000A211A" w:rsidP="000A211A">
      <w:pPr>
        <w:pStyle w:val="Body1"/>
        <w:pBdr>
          <w:top w:val="double" w:sz="4" w:space="1" w:color="auto"/>
          <w:left w:val="double" w:sz="4" w:space="4" w:color="auto"/>
          <w:bottom w:val="double" w:sz="4" w:space="1" w:color="auto"/>
          <w:right w:val="double" w:sz="4" w:space="4" w:color="auto"/>
        </w:pBdr>
        <w:spacing w:line="276" w:lineRule="auto"/>
        <w:jc w:val="both"/>
        <w:rPr>
          <w:rFonts w:ascii="Trebuchet MS" w:hAnsi="Trebuchet MS" w:cs="Arial"/>
          <w:szCs w:val="24"/>
        </w:rPr>
      </w:pPr>
      <w:r w:rsidRPr="00735C45">
        <w:rPr>
          <w:rFonts w:ascii="Trebuchet MS" w:hAnsi="Trebuchet MS" w:cs="Arial"/>
          <w:szCs w:val="24"/>
        </w:rPr>
        <w:tab/>
        <w:t>A POF 2008-2009 constatou prevalência de inadequação da ingestão de vitamina B1 entre jovens e adultos brasileiros</w:t>
      </w:r>
      <w:r w:rsidRPr="000A211A">
        <w:rPr>
          <w:rFonts w:ascii="Trebuchet MS" w:hAnsi="Trebuchet MS" w:cs="Arial"/>
          <w:szCs w:val="24"/>
          <w:vertAlign w:val="superscript"/>
        </w:rPr>
        <w:t>[11]</w:t>
      </w:r>
      <w:r w:rsidRPr="00735C45">
        <w:rPr>
          <w:rFonts w:ascii="Trebuchet MS" w:hAnsi="Trebuchet MS" w:cs="Arial"/>
          <w:szCs w:val="24"/>
        </w:rPr>
        <w:t>. Os casos mais significativos foram entre homens e mulheres com 60 anos ou mais (44% e 47% respectivamente) e entre homens e mulheres de 19 a 59 anos (31% e 38% respectivamente). A prevalência de inadequação também foi alta entre os jovens de 14 a 18 anos (28% meninos e 27% meninas).</w:t>
      </w:r>
    </w:p>
    <w:p w:rsidR="000A211A" w:rsidRPr="00735C45" w:rsidRDefault="000A211A" w:rsidP="000A211A">
      <w:pPr>
        <w:pStyle w:val="Body1"/>
        <w:spacing w:line="276" w:lineRule="auto"/>
        <w:jc w:val="both"/>
        <w:rPr>
          <w:rFonts w:ascii="Trebuchet MS" w:hAnsi="Trebuchet MS" w:cs="Arial"/>
          <w:szCs w:val="24"/>
        </w:rPr>
      </w:pPr>
    </w:p>
    <w:p w:rsidR="000A211A" w:rsidRPr="00735C45" w:rsidRDefault="000A211A" w:rsidP="000A211A">
      <w:pPr>
        <w:pStyle w:val="Body1"/>
        <w:spacing w:line="276" w:lineRule="auto"/>
        <w:jc w:val="both"/>
        <w:rPr>
          <w:rFonts w:ascii="Trebuchet MS" w:hAnsi="Trebuchet MS" w:cs="Arial"/>
          <w:szCs w:val="24"/>
        </w:rPr>
      </w:pPr>
    </w:p>
    <w:p w:rsidR="000A211A" w:rsidRPr="000A211A" w:rsidRDefault="000A211A" w:rsidP="000A211A">
      <w:pPr>
        <w:pStyle w:val="Body1"/>
        <w:spacing w:line="276" w:lineRule="auto"/>
        <w:jc w:val="both"/>
        <w:rPr>
          <w:rFonts w:ascii="Trebuchet MS" w:hAnsi="Trebuchet MS" w:cs="Arial"/>
          <w:b/>
          <w:color w:val="0070C0"/>
          <w:szCs w:val="24"/>
        </w:rPr>
      </w:pPr>
      <w:r w:rsidRPr="000A211A">
        <w:rPr>
          <w:rFonts w:ascii="Trebuchet MS" w:eastAsia="Calibri" w:hAnsi="Trebuchet MS" w:cs="Arial"/>
          <w:b/>
          <w:color w:val="0070C0"/>
          <w:szCs w:val="24"/>
          <w:lang w:eastAsia="en-US"/>
        </w:rPr>
        <w:t>Considerações Finais</w:t>
      </w:r>
    </w:p>
    <w:p w:rsidR="000A211A" w:rsidRPr="003E2949" w:rsidRDefault="000A211A" w:rsidP="000A211A">
      <w:pPr>
        <w:pStyle w:val="Recuodecorpodetexto"/>
        <w:jc w:val="both"/>
        <w:rPr>
          <w:rFonts w:cs="Arial"/>
          <w:color w:val="000000"/>
          <w:sz w:val="24"/>
        </w:rPr>
      </w:pPr>
      <w:r w:rsidRPr="003E2949">
        <w:rPr>
          <w:rFonts w:cs="Arial"/>
          <w:color w:val="000000"/>
          <w:sz w:val="24"/>
        </w:rPr>
        <w:t>A revisão sistemática realizada pelo INTA concluiu que o Brasil necessita de um número maior de pesquisas envolvendo amostras representativas dos subgrupos populacionais para melhor compreensão da magnitude da deficiência de determinados micronutrientes. As informações são fundamentais, especialmente entre os grupos mais vulneráveis.</w:t>
      </w:r>
    </w:p>
    <w:p w:rsidR="000A211A" w:rsidRPr="003E2949" w:rsidRDefault="000A211A" w:rsidP="000A211A">
      <w:pPr>
        <w:pStyle w:val="Recuodecorpodetexto"/>
        <w:jc w:val="both"/>
        <w:rPr>
          <w:rFonts w:cs="Arial"/>
          <w:color w:val="000000"/>
          <w:sz w:val="24"/>
        </w:rPr>
      </w:pPr>
      <w:r w:rsidRPr="003E2949">
        <w:rPr>
          <w:rFonts w:cs="Arial"/>
          <w:color w:val="000000"/>
          <w:sz w:val="24"/>
        </w:rPr>
        <w:t xml:space="preserve">A implementação de políticas públicas e programas de suplementação eficazes que visam a prevenção e o controle de deficiências nutricionais são imprescindíveis. </w:t>
      </w:r>
    </w:p>
    <w:p w:rsidR="000A211A" w:rsidRPr="003E2949" w:rsidRDefault="000A211A" w:rsidP="000A211A">
      <w:pPr>
        <w:pStyle w:val="Recuodecorpodetexto"/>
        <w:jc w:val="both"/>
        <w:rPr>
          <w:rFonts w:cs="Arial"/>
          <w:color w:val="000000"/>
          <w:sz w:val="24"/>
        </w:rPr>
      </w:pPr>
      <w:r w:rsidRPr="003E2949">
        <w:rPr>
          <w:rFonts w:cs="Arial"/>
          <w:color w:val="000000"/>
          <w:sz w:val="24"/>
        </w:rPr>
        <w:t xml:space="preserve">Os custos envolvidos no tratamento e no gerenciamento das consequências da deficiência de micronutrientes, sejam eles medidos em termos humanos ou econômicos, são extremamente elevados. Por outro lado, os valores necessários para a prevenção de carências nutricionais são consideravelmente baixos. </w:t>
      </w:r>
    </w:p>
    <w:p w:rsidR="000A211A" w:rsidRPr="003E2949" w:rsidRDefault="000A211A" w:rsidP="000A211A">
      <w:pPr>
        <w:jc w:val="both"/>
        <w:rPr>
          <w:rFonts w:eastAsia="Arial Unicode MS" w:cs="Arial"/>
          <w:b/>
          <w:color w:val="17365D"/>
          <w:sz w:val="24"/>
          <w:lang w:eastAsia="pt-BR"/>
        </w:rPr>
      </w:pPr>
      <w:r w:rsidRPr="003E2949">
        <w:rPr>
          <w:rFonts w:eastAsia="Arial Unicode MS" w:cs="Arial"/>
          <w:color w:val="000000"/>
          <w:sz w:val="24"/>
          <w:lang w:eastAsia="pt-BR"/>
        </w:rPr>
        <w:t xml:space="preserve">Nesse sentido, as ações governamentais e os investimentos em nutrição são plenamente justificáveis, pela redução de despesas com saúde, aumento da produtividade e consequente crescimento econômico e social. </w:t>
      </w:r>
    </w:p>
    <w:p w:rsidR="000A211A" w:rsidRDefault="000A211A" w:rsidP="000A211A">
      <w:pPr>
        <w:pStyle w:val="Body1"/>
        <w:spacing w:line="276" w:lineRule="auto"/>
        <w:jc w:val="both"/>
        <w:rPr>
          <w:rFonts w:ascii="Trebuchet MS" w:hAnsi="Trebuchet MS" w:cs="Arial"/>
          <w:color w:val="auto"/>
          <w:szCs w:val="24"/>
        </w:rPr>
      </w:pPr>
      <w:r w:rsidRPr="00693A48">
        <w:rPr>
          <w:rFonts w:ascii="Trebuchet MS" w:hAnsi="Trebuchet MS" w:cs="Arial"/>
          <w:color w:val="auto"/>
          <w:szCs w:val="24"/>
        </w:rPr>
        <w:t>A Royal DSM é uma empresa global de cunho científico, atuante nos mercados de saúde, nutrição e</w:t>
      </w:r>
      <w:r>
        <w:rPr>
          <w:rFonts w:ascii="Trebuchet MS" w:hAnsi="Trebuchet MS" w:cs="Arial"/>
          <w:color w:val="auto"/>
          <w:szCs w:val="24"/>
        </w:rPr>
        <w:t xml:space="preserve"> </w:t>
      </w:r>
      <w:r w:rsidRPr="00693A48">
        <w:rPr>
          <w:rFonts w:ascii="Trebuchet MS" w:hAnsi="Trebuchet MS" w:cs="Arial"/>
          <w:color w:val="auto"/>
          <w:szCs w:val="24"/>
        </w:rPr>
        <w:t>materiais. Ao aliar suas competências únicas em Ciências da Vida e Ciências dos Materiais, a DSM</w:t>
      </w:r>
      <w:r>
        <w:rPr>
          <w:rFonts w:ascii="Trebuchet MS" w:hAnsi="Trebuchet MS" w:cs="Arial"/>
          <w:color w:val="auto"/>
          <w:szCs w:val="24"/>
        </w:rPr>
        <w:t xml:space="preserve"> </w:t>
      </w:r>
      <w:r w:rsidRPr="00693A48">
        <w:rPr>
          <w:rFonts w:ascii="Trebuchet MS" w:hAnsi="Trebuchet MS" w:cs="Arial"/>
          <w:color w:val="auto"/>
          <w:szCs w:val="24"/>
        </w:rPr>
        <w:t>contribui para a prosperidade econômica, progresso ambiental e avanços sociais, agregando valor</w:t>
      </w:r>
      <w:r>
        <w:rPr>
          <w:rFonts w:ascii="Trebuchet MS" w:hAnsi="Trebuchet MS" w:cs="Arial"/>
          <w:color w:val="auto"/>
          <w:szCs w:val="24"/>
        </w:rPr>
        <w:t xml:space="preserve"> </w:t>
      </w:r>
      <w:r w:rsidRPr="00693A48">
        <w:rPr>
          <w:rFonts w:ascii="Trebuchet MS" w:hAnsi="Trebuchet MS" w:cs="Arial"/>
          <w:color w:val="auto"/>
          <w:szCs w:val="24"/>
        </w:rPr>
        <w:t>sustentável para todos os seus públicos interessados. A DSM oferece soluções inovadoras que nutrem,</w:t>
      </w:r>
      <w:r>
        <w:rPr>
          <w:rFonts w:ascii="Trebuchet MS" w:hAnsi="Trebuchet MS" w:cs="Arial"/>
          <w:color w:val="auto"/>
          <w:szCs w:val="24"/>
        </w:rPr>
        <w:t xml:space="preserve"> </w:t>
      </w:r>
      <w:r w:rsidRPr="00693A48">
        <w:rPr>
          <w:rFonts w:ascii="Trebuchet MS" w:hAnsi="Trebuchet MS" w:cs="Arial"/>
          <w:color w:val="auto"/>
          <w:szCs w:val="24"/>
        </w:rPr>
        <w:t>protegem e me</w:t>
      </w:r>
      <w:r>
        <w:rPr>
          <w:rFonts w:ascii="Trebuchet MS" w:hAnsi="Trebuchet MS" w:cs="Arial"/>
          <w:color w:val="auto"/>
          <w:szCs w:val="24"/>
        </w:rPr>
        <w:t>lhoram o desempenho em mercados.</w:t>
      </w:r>
    </w:p>
    <w:p w:rsidR="000A211A" w:rsidRPr="0086117E" w:rsidRDefault="000A211A" w:rsidP="000A211A">
      <w:pPr>
        <w:pStyle w:val="Body1"/>
        <w:spacing w:line="276" w:lineRule="auto"/>
        <w:jc w:val="both"/>
        <w:rPr>
          <w:rFonts w:ascii="Trebuchet MS" w:hAnsi="Trebuchet MS" w:cs="Arial"/>
          <w:color w:val="auto"/>
          <w:szCs w:val="24"/>
        </w:rPr>
      </w:pPr>
      <w:r w:rsidRPr="0086117E">
        <w:rPr>
          <w:rFonts w:ascii="Trebuchet MS" w:hAnsi="Trebuchet MS" w:cs="Arial"/>
          <w:color w:val="auto"/>
          <w:szCs w:val="24"/>
        </w:rPr>
        <w:lastRenderedPageBreak/>
        <w:t>Em 2012 comemoramos os 100 anos da descoberta das vitaminas.</w:t>
      </w:r>
      <w:r>
        <w:rPr>
          <w:rFonts w:ascii="Trebuchet MS" w:hAnsi="Trebuchet MS" w:cs="Arial"/>
          <w:color w:val="auto"/>
          <w:szCs w:val="24"/>
        </w:rPr>
        <w:t xml:space="preserve"> </w:t>
      </w:r>
      <w:r w:rsidRPr="0086117E">
        <w:rPr>
          <w:rFonts w:ascii="Trebuchet MS" w:hAnsi="Trebuchet MS" w:cs="Arial"/>
          <w:color w:val="auto"/>
          <w:szCs w:val="24"/>
        </w:rPr>
        <w:t>As vitaminas desempenham um papel essencial para a saúde, o</w:t>
      </w:r>
      <w:r>
        <w:rPr>
          <w:rFonts w:ascii="Trebuchet MS" w:hAnsi="Trebuchet MS" w:cs="Arial"/>
          <w:color w:val="auto"/>
          <w:szCs w:val="24"/>
        </w:rPr>
        <w:t xml:space="preserve"> </w:t>
      </w:r>
      <w:r w:rsidRPr="0086117E">
        <w:rPr>
          <w:rFonts w:ascii="Trebuchet MS" w:hAnsi="Trebuchet MS" w:cs="Arial"/>
          <w:color w:val="auto"/>
          <w:szCs w:val="24"/>
        </w:rPr>
        <w:t>bem-estar e a prevenção de doenças, sendo fundamentais para a</w:t>
      </w:r>
      <w:r>
        <w:rPr>
          <w:rFonts w:ascii="Trebuchet MS" w:hAnsi="Trebuchet MS" w:cs="Arial"/>
          <w:color w:val="auto"/>
          <w:szCs w:val="24"/>
        </w:rPr>
        <w:t xml:space="preserve"> </w:t>
      </w:r>
      <w:r w:rsidRPr="0086117E">
        <w:rPr>
          <w:rFonts w:ascii="Trebuchet MS" w:hAnsi="Trebuchet MS" w:cs="Arial"/>
          <w:color w:val="auto"/>
          <w:szCs w:val="24"/>
        </w:rPr>
        <w:t>solução de desafios nutricionais ao longo de nosso ciclo de vida.</w:t>
      </w:r>
    </w:p>
    <w:p w:rsidR="000A211A" w:rsidRPr="0086117E" w:rsidRDefault="000A211A" w:rsidP="000A211A">
      <w:pPr>
        <w:pStyle w:val="Body1"/>
        <w:spacing w:line="276" w:lineRule="auto"/>
        <w:jc w:val="both"/>
        <w:rPr>
          <w:rFonts w:ascii="Trebuchet MS" w:hAnsi="Trebuchet MS" w:cs="Arial"/>
          <w:color w:val="auto"/>
          <w:szCs w:val="24"/>
        </w:rPr>
      </w:pPr>
      <w:r w:rsidRPr="0086117E">
        <w:rPr>
          <w:rFonts w:ascii="Trebuchet MS" w:hAnsi="Trebuchet MS" w:cs="Arial"/>
          <w:color w:val="auto"/>
          <w:szCs w:val="24"/>
        </w:rPr>
        <w:t xml:space="preserve">Neste ano, a DSM e a </w:t>
      </w:r>
      <w:proofErr w:type="spellStart"/>
      <w:r w:rsidRPr="0086117E">
        <w:rPr>
          <w:rFonts w:ascii="Trebuchet MS" w:hAnsi="Trebuchet MS" w:cs="Arial"/>
          <w:color w:val="auto"/>
          <w:szCs w:val="24"/>
        </w:rPr>
        <w:t>Sight</w:t>
      </w:r>
      <w:proofErr w:type="spellEnd"/>
      <w:r w:rsidRPr="0086117E">
        <w:rPr>
          <w:rFonts w:ascii="Trebuchet MS" w:hAnsi="Trebuchet MS" w:cs="Arial"/>
          <w:color w:val="auto"/>
          <w:szCs w:val="24"/>
        </w:rPr>
        <w:t xml:space="preserve"> and Life lançaram a campanha </w:t>
      </w:r>
      <w:proofErr w:type="spellStart"/>
      <w:r w:rsidRPr="0086117E">
        <w:rPr>
          <w:rFonts w:ascii="Trebuchet MS" w:hAnsi="Trebuchet MS" w:cs="Arial"/>
          <w:i/>
          <w:color w:val="auto"/>
          <w:szCs w:val="24"/>
        </w:rPr>
        <w:t>Vitamins</w:t>
      </w:r>
      <w:proofErr w:type="spellEnd"/>
      <w:r w:rsidRPr="0086117E">
        <w:rPr>
          <w:rFonts w:ascii="Trebuchet MS" w:hAnsi="Trebuchet MS" w:cs="Arial"/>
          <w:i/>
          <w:color w:val="auto"/>
          <w:szCs w:val="24"/>
        </w:rPr>
        <w:t xml:space="preserve"> in </w:t>
      </w:r>
      <w:proofErr w:type="spellStart"/>
      <w:r w:rsidRPr="0086117E">
        <w:rPr>
          <w:rFonts w:ascii="Trebuchet MS" w:hAnsi="Trebuchet MS" w:cs="Arial"/>
          <w:i/>
          <w:color w:val="auto"/>
          <w:szCs w:val="24"/>
        </w:rPr>
        <w:t>Motion</w:t>
      </w:r>
      <w:proofErr w:type="spellEnd"/>
      <w:r w:rsidRPr="0086117E">
        <w:rPr>
          <w:rFonts w:ascii="Trebuchet MS" w:hAnsi="Trebuchet MS" w:cs="Arial"/>
          <w:color w:val="auto"/>
          <w:szCs w:val="24"/>
        </w:rPr>
        <w:t xml:space="preserve"> (Vitaminas em ação), uma iniciativa para aumentar o conhecimento e defender o</w:t>
      </w:r>
      <w:r>
        <w:rPr>
          <w:rFonts w:ascii="Trebuchet MS" w:hAnsi="Trebuchet MS" w:cs="Arial"/>
          <w:color w:val="auto"/>
          <w:szCs w:val="24"/>
        </w:rPr>
        <w:t xml:space="preserve"> </w:t>
      </w:r>
      <w:r w:rsidRPr="0086117E">
        <w:rPr>
          <w:rFonts w:ascii="Trebuchet MS" w:hAnsi="Trebuchet MS" w:cs="Arial"/>
          <w:color w:val="auto"/>
          <w:szCs w:val="24"/>
        </w:rPr>
        <w:t>acesso às vitaminas para todas as pessoas que necessitam</w:t>
      </w:r>
      <w:r>
        <w:rPr>
          <w:rFonts w:ascii="Trebuchet MS" w:hAnsi="Trebuchet MS" w:cs="Arial"/>
          <w:color w:val="auto"/>
          <w:szCs w:val="24"/>
        </w:rPr>
        <w:t xml:space="preserve"> </w:t>
      </w:r>
      <w:r w:rsidRPr="0086117E">
        <w:rPr>
          <w:rFonts w:ascii="Trebuchet MS" w:hAnsi="Trebuchet MS" w:cs="Arial"/>
          <w:color w:val="auto"/>
          <w:szCs w:val="24"/>
        </w:rPr>
        <w:t>ser saudáveis e bem nutridas. Nossa campanha, transforma avanços</w:t>
      </w:r>
      <w:r>
        <w:rPr>
          <w:rFonts w:ascii="Trebuchet MS" w:hAnsi="Trebuchet MS" w:cs="Arial"/>
          <w:color w:val="auto"/>
          <w:szCs w:val="24"/>
        </w:rPr>
        <w:t xml:space="preserve"> </w:t>
      </w:r>
      <w:r w:rsidRPr="0086117E">
        <w:rPr>
          <w:rFonts w:ascii="Trebuchet MS" w:hAnsi="Trebuchet MS" w:cs="Arial"/>
          <w:color w:val="auto"/>
          <w:szCs w:val="24"/>
        </w:rPr>
        <w:t xml:space="preserve">científicos e tecnológicos em soluções nutricionais para benefícios de saúde.  </w:t>
      </w:r>
    </w:p>
    <w:p w:rsidR="000A211A" w:rsidRDefault="000A211A" w:rsidP="000A211A">
      <w:pPr>
        <w:pStyle w:val="Body1"/>
        <w:spacing w:line="276" w:lineRule="auto"/>
        <w:jc w:val="both"/>
        <w:rPr>
          <w:rFonts w:ascii="Trebuchet MS" w:hAnsi="Trebuchet MS" w:cs="Arial"/>
          <w:color w:val="auto"/>
          <w:szCs w:val="24"/>
        </w:rPr>
      </w:pPr>
      <w:r w:rsidRPr="0086117E">
        <w:rPr>
          <w:rFonts w:ascii="Trebuchet MS" w:hAnsi="Trebuchet MS" w:cs="Arial"/>
          <w:color w:val="auto"/>
          <w:szCs w:val="24"/>
        </w:rPr>
        <w:t>A DSM é líder nesses desenvolvimentos e está comprometida em</w:t>
      </w:r>
      <w:r>
        <w:rPr>
          <w:rFonts w:ascii="Trebuchet MS" w:hAnsi="Trebuchet MS" w:cs="Arial"/>
          <w:color w:val="auto"/>
          <w:szCs w:val="24"/>
        </w:rPr>
        <w:t xml:space="preserve"> </w:t>
      </w:r>
      <w:r w:rsidRPr="0086117E">
        <w:rPr>
          <w:rFonts w:ascii="Trebuchet MS" w:hAnsi="Trebuchet MS" w:cs="Arial"/>
          <w:color w:val="auto"/>
          <w:szCs w:val="24"/>
        </w:rPr>
        <w:t xml:space="preserve">realizar avanços adicionais para as </w:t>
      </w:r>
      <w:r>
        <w:rPr>
          <w:rFonts w:ascii="Trebuchet MS" w:hAnsi="Trebuchet MS" w:cs="Arial"/>
          <w:color w:val="auto"/>
          <w:szCs w:val="24"/>
        </w:rPr>
        <w:t>futuras gerações, ajudando a melhorar a qualidade de vida, através de vitaminas, minerais e ingredientes funcionais, com soluções personalizadas para cada produto e público alvo.</w:t>
      </w:r>
    </w:p>
    <w:p w:rsidR="000A211A" w:rsidRPr="006C5E55" w:rsidRDefault="000A211A" w:rsidP="000A211A">
      <w:pPr>
        <w:pStyle w:val="Body1"/>
        <w:spacing w:line="276" w:lineRule="auto"/>
        <w:jc w:val="both"/>
        <w:rPr>
          <w:rFonts w:ascii="Trebuchet MS" w:hAnsi="Trebuchet MS" w:cs="Arial"/>
          <w:color w:val="auto"/>
          <w:szCs w:val="24"/>
        </w:rPr>
      </w:pPr>
    </w:p>
    <w:p w:rsidR="000A211A" w:rsidRPr="006C5E55" w:rsidRDefault="000A211A" w:rsidP="000A211A">
      <w:pPr>
        <w:pStyle w:val="Body1"/>
        <w:spacing w:line="276" w:lineRule="auto"/>
        <w:jc w:val="both"/>
        <w:rPr>
          <w:rFonts w:ascii="Trebuchet MS" w:hAnsi="Trebuchet MS" w:cs="Arial"/>
          <w:b/>
          <w:color w:val="17365D"/>
          <w:szCs w:val="24"/>
        </w:rPr>
      </w:pPr>
    </w:p>
    <w:p w:rsidR="000A211A" w:rsidRPr="000558E9" w:rsidRDefault="000A211A" w:rsidP="000A211A">
      <w:pPr>
        <w:pStyle w:val="Body1"/>
        <w:spacing w:line="276" w:lineRule="auto"/>
        <w:jc w:val="both"/>
        <w:rPr>
          <w:rFonts w:ascii="Trebuchet MS" w:hAnsi="Trebuchet MS" w:cs="Arial"/>
          <w:b/>
          <w:color w:val="17365D"/>
          <w:szCs w:val="24"/>
          <w:lang w:val="en-US"/>
        </w:rPr>
      </w:pPr>
      <w:r>
        <w:rPr>
          <w:rFonts w:ascii="Trebuchet MS" w:hAnsi="Trebuchet MS" w:cs="Arial"/>
          <w:b/>
          <w:noProof/>
          <w:color w:val="17365D"/>
          <w:szCs w:val="24"/>
        </w:rPr>
        <w:drawing>
          <wp:inline distT="0" distB="0" distL="0" distR="0">
            <wp:extent cx="5017135" cy="3339465"/>
            <wp:effectExtent l="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7135" cy="3339465"/>
                    </a:xfrm>
                    <a:prstGeom prst="rect">
                      <a:avLst/>
                    </a:prstGeom>
                    <a:noFill/>
                    <a:ln>
                      <a:noFill/>
                    </a:ln>
                  </pic:spPr>
                </pic:pic>
              </a:graphicData>
            </a:graphic>
          </wp:inline>
        </w:drawing>
      </w:r>
    </w:p>
    <w:p w:rsidR="000A211A" w:rsidRDefault="000A211A" w:rsidP="000A211A">
      <w:pPr>
        <w:pStyle w:val="Body1"/>
        <w:spacing w:line="276" w:lineRule="auto"/>
        <w:jc w:val="both"/>
        <w:rPr>
          <w:rFonts w:ascii="Trebuchet MS" w:hAnsi="Trebuchet MS" w:cs="Arial"/>
          <w:b/>
          <w:color w:val="17365D"/>
          <w:szCs w:val="24"/>
          <w:lang w:val="en-US"/>
        </w:rPr>
      </w:pPr>
    </w:p>
    <w:p w:rsidR="000A211A" w:rsidRDefault="000A211A" w:rsidP="000A211A">
      <w:pPr>
        <w:pStyle w:val="Body1"/>
        <w:spacing w:line="276" w:lineRule="auto"/>
        <w:jc w:val="both"/>
        <w:rPr>
          <w:rFonts w:ascii="Trebuchet MS" w:hAnsi="Trebuchet MS" w:cs="Arial"/>
          <w:b/>
          <w:color w:val="17365D"/>
          <w:szCs w:val="24"/>
          <w:lang w:val="en-US"/>
        </w:rPr>
      </w:pPr>
    </w:p>
    <w:p w:rsidR="000A211A" w:rsidRPr="000A211A" w:rsidRDefault="000A211A" w:rsidP="000A211A">
      <w:pPr>
        <w:pStyle w:val="Body1"/>
        <w:spacing w:line="276" w:lineRule="auto"/>
        <w:jc w:val="both"/>
        <w:rPr>
          <w:rFonts w:ascii="Trebuchet MS" w:hAnsi="Trebuchet MS" w:cs="Arial"/>
          <w:b/>
          <w:color w:val="0070C0"/>
          <w:szCs w:val="24"/>
          <w:lang w:val="en-US"/>
        </w:rPr>
      </w:pPr>
      <w:proofErr w:type="spellStart"/>
      <w:r w:rsidRPr="000A211A">
        <w:rPr>
          <w:rFonts w:ascii="Trebuchet MS" w:hAnsi="Trebuchet MS" w:cs="Arial"/>
          <w:b/>
          <w:color w:val="0070C0"/>
          <w:szCs w:val="24"/>
          <w:lang w:val="en-US"/>
        </w:rPr>
        <w:t>Referências</w:t>
      </w:r>
      <w:proofErr w:type="spellEnd"/>
      <w:r w:rsidRPr="000A211A">
        <w:rPr>
          <w:rFonts w:ascii="Trebuchet MS" w:hAnsi="Trebuchet MS" w:cs="Arial"/>
          <w:b/>
          <w:color w:val="0070C0"/>
          <w:szCs w:val="24"/>
          <w:lang w:val="en-US"/>
        </w:rPr>
        <w:t xml:space="preserve"> </w:t>
      </w:r>
    </w:p>
    <w:p w:rsidR="000A211A" w:rsidRPr="00735C45" w:rsidRDefault="000A211A" w:rsidP="000A211A">
      <w:pPr>
        <w:rPr>
          <w:rFonts w:cs="Arial"/>
          <w:sz w:val="24"/>
          <w:lang w:val="en-US"/>
        </w:rPr>
      </w:pPr>
      <w:r w:rsidRPr="000A211A">
        <w:rPr>
          <w:rFonts w:cs="Arial"/>
          <w:sz w:val="24"/>
          <w:vertAlign w:val="superscript"/>
          <w:lang w:val="en-US"/>
        </w:rPr>
        <w:t xml:space="preserve">[1] </w:t>
      </w:r>
      <w:r w:rsidRPr="00735C45">
        <w:rPr>
          <w:rFonts w:cs="Arial"/>
          <w:sz w:val="24"/>
          <w:lang w:val="en-US"/>
        </w:rPr>
        <w:t xml:space="preserve">Food and Agriculture Organization of the United Nations. Food-based approaches for improving diets and raising levels of nutrition. Concept Note. Roma, Dec 2010. </w:t>
      </w:r>
    </w:p>
    <w:p w:rsidR="000A211A" w:rsidRPr="00735C45" w:rsidRDefault="000A211A" w:rsidP="000A211A">
      <w:pPr>
        <w:rPr>
          <w:rFonts w:cs="Arial"/>
          <w:sz w:val="24"/>
          <w:lang w:val="en-US"/>
        </w:rPr>
      </w:pPr>
      <w:r w:rsidRPr="000A211A">
        <w:rPr>
          <w:rFonts w:cs="Arial"/>
          <w:sz w:val="24"/>
          <w:vertAlign w:val="superscript"/>
          <w:lang w:val="en-US"/>
        </w:rPr>
        <w:t>[2]</w:t>
      </w:r>
      <w:r w:rsidRPr="00735C45">
        <w:rPr>
          <w:rFonts w:cs="Arial"/>
          <w:sz w:val="24"/>
          <w:lang w:val="en-US"/>
        </w:rPr>
        <w:t xml:space="preserve"> Kennedy G, </w:t>
      </w:r>
      <w:proofErr w:type="spellStart"/>
      <w:r w:rsidRPr="00735C45">
        <w:rPr>
          <w:rFonts w:cs="Arial"/>
          <w:sz w:val="24"/>
          <w:lang w:val="en-US"/>
        </w:rPr>
        <w:t>Nantel</w:t>
      </w:r>
      <w:proofErr w:type="spellEnd"/>
      <w:r w:rsidRPr="00735C45">
        <w:rPr>
          <w:rFonts w:cs="Arial"/>
          <w:sz w:val="24"/>
          <w:lang w:val="en-US"/>
        </w:rPr>
        <w:t xml:space="preserve"> G, </w:t>
      </w:r>
      <w:proofErr w:type="spellStart"/>
      <w:r w:rsidRPr="00735C45">
        <w:rPr>
          <w:rFonts w:cs="Arial"/>
          <w:sz w:val="24"/>
          <w:lang w:val="en-US"/>
        </w:rPr>
        <w:t>Shetty</w:t>
      </w:r>
      <w:proofErr w:type="spellEnd"/>
      <w:r w:rsidRPr="00735C45">
        <w:rPr>
          <w:rFonts w:cs="Arial"/>
          <w:sz w:val="24"/>
          <w:lang w:val="en-US"/>
        </w:rPr>
        <w:t xml:space="preserve"> P. The scourge of “hidden hunger”: global dimensions of micronutrient deficiencies. Food, Nutrition and Agriculture. 2003, 32: 8-16.</w:t>
      </w:r>
    </w:p>
    <w:p w:rsidR="000A211A" w:rsidRPr="00735C45" w:rsidRDefault="000A211A" w:rsidP="000A211A">
      <w:pPr>
        <w:rPr>
          <w:rFonts w:cs="Arial"/>
          <w:sz w:val="24"/>
          <w:lang w:val="es-ES_tradnl"/>
        </w:rPr>
      </w:pPr>
      <w:r w:rsidRPr="000A211A">
        <w:rPr>
          <w:rFonts w:cs="Arial"/>
          <w:sz w:val="24"/>
          <w:vertAlign w:val="superscript"/>
          <w:lang w:val="en-US"/>
        </w:rPr>
        <w:t>[3]</w:t>
      </w:r>
      <w:r w:rsidRPr="00735C45">
        <w:rPr>
          <w:rFonts w:cs="Arial"/>
          <w:sz w:val="24"/>
          <w:lang w:val="en-US"/>
        </w:rPr>
        <w:t xml:space="preserve"> de </w:t>
      </w:r>
      <w:proofErr w:type="spellStart"/>
      <w:r w:rsidRPr="00735C45">
        <w:rPr>
          <w:rFonts w:cs="Arial"/>
          <w:sz w:val="24"/>
          <w:lang w:val="en-US"/>
        </w:rPr>
        <w:t>Romaña</w:t>
      </w:r>
      <w:proofErr w:type="spellEnd"/>
      <w:r w:rsidRPr="00735C45">
        <w:rPr>
          <w:rFonts w:cs="Arial"/>
          <w:sz w:val="24"/>
          <w:lang w:val="en-US"/>
        </w:rPr>
        <w:t xml:space="preserve"> DL, Olivares M, </w:t>
      </w:r>
      <w:proofErr w:type="spellStart"/>
      <w:r w:rsidRPr="00735C45">
        <w:rPr>
          <w:rFonts w:cs="Arial"/>
          <w:sz w:val="24"/>
          <w:lang w:val="en-US"/>
        </w:rPr>
        <w:t>Brito</w:t>
      </w:r>
      <w:proofErr w:type="spellEnd"/>
      <w:r w:rsidRPr="00735C45">
        <w:rPr>
          <w:rFonts w:cs="Arial"/>
          <w:sz w:val="24"/>
          <w:lang w:val="en-US"/>
        </w:rPr>
        <w:t xml:space="preserve"> A, </w:t>
      </w:r>
      <w:proofErr w:type="spellStart"/>
      <w:r w:rsidRPr="00735C45">
        <w:rPr>
          <w:rFonts w:cs="Arial"/>
          <w:sz w:val="24"/>
          <w:lang w:val="en-US"/>
        </w:rPr>
        <w:t>Cediel</w:t>
      </w:r>
      <w:proofErr w:type="spellEnd"/>
      <w:r w:rsidRPr="00735C45">
        <w:rPr>
          <w:rFonts w:cs="Arial"/>
          <w:sz w:val="24"/>
          <w:lang w:val="en-US"/>
        </w:rPr>
        <w:t xml:space="preserve"> G, </w:t>
      </w:r>
      <w:proofErr w:type="spellStart"/>
      <w:r w:rsidRPr="00735C45">
        <w:rPr>
          <w:rFonts w:cs="Arial"/>
          <w:sz w:val="24"/>
          <w:lang w:val="en-US"/>
        </w:rPr>
        <w:t>Mujica</w:t>
      </w:r>
      <w:proofErr w:type="spellEnd"/>
      <w:r w:rsidRPr="00735C45">
        <w:rPr>
          <w:rFonts w:cs="Arial"/>
          <w:sz w:val="24"/>
          <w:lang w:val="en-US"/>
        </w:rPr>
        <w:t xml:space="preserve"> M. Prevalence of micronutrient deficiencies in Latin America and the Caribbean. </w:t>
      </w:r>
      <w:proofErr w:type="spellStart"/>
      <w:r w:rsidRPr="00735C45">
        <w:rPr>
          <w:rFonts w:cs="Arial"/>
          <w:sz w:val="24"/>
          <w:lang w:val="es-ES_tradnl"/>
        </w:rPr>
        <w:t>Technical</w:t>
      </w:r>
      <w:proofErr w:type="spellEnd"/>
      <w:r w:rsidRPr="00735C45">
        <w:rPr>
          <w:rFonts w:cs="Arial"/>
          <w:sz w:val="24"/>
          <w:lang w:val="es-ES_tradnl"/>
        </w:rPr>
        <w:t xml:space="preserve"> </w:t>
      </w:r>
      <w:proofErr w:type="spellStart"/>
      <w:r w:rsidRPr="00735C45">
        <w:rPr>
          <w:rFonts w:cs="Arial"/>
          <w:sz w:val="24"/>
          <w:lang w:val="es-ES_tradnl"/>
        </w:rPr>
        <w:t>Report</w:t>
      </w:r>
      <w:proofErr w:type="spellEnd"/>
      <w:r w:rsidRPr="00735C45">
        <w:rPr>
          <w:rFonts w:cs="Arial"/>
          <w:sz w:val="24"/>
          <w:lang w:val="es-ES_tradnl"/>
        </w:rPr>
        <w:t>. Instituto de Nutrición y Tecnología de Alimentos. Santiago, 2012.</w:t>
      </w:r>
    </w:p>
    <w:p w:rsidR="000A211A" w:rsidRPr="00735C45" w:rsidRDefault="000A211A" w:rsidP="000A211A">
      <w:pPr>
        <w:rPr>
          <w:rFonts w:cs="Arial"/>
          <w:sz w:val="24"/>
        </w:rPr>
      </w:pPr>
      <w:r w:rsidRPr="000A211A">
        <w:rPr>
          <w:rFonts w:cs="Arial"/>
          <w:sz w:val="24"/>
          <w:vertAlign w:val="superscript"/>
        </w:rPr>
        <w:lastRenderedPageBreak/>
        <w:t>[4]</w:t>
      </w:r>
      <w:r w:rsidRPr="00735C45">
        <w:rPr>
          <w:rFonts w:cs="Arial"/>
          <w:sz w:val="24"/>
        </w:rPr>
        <w:t xml:space="preserve"> </w:t>
      </w:r>
      <w:proofErr w:type="spellStart"/>
      <w:r w:rsidRPr="00735C45">
        <w:rPr>
          <w:rFonts w:cs="Arial"/>
          <w:sz w:val="24"/>
        </w:rPr>
        <w:t>Philippi</w:t>
      </w:r>
      <w:proofErr w:type="spellEnd"/>
      <w:r w:rsidRPr="00735C45">
        <w:rPr>
          <w:rFonts w:cs="Arial"/>
          <w:sz w:val="24"/>
        </w:rPr>
        <w:t xml:space="preserve"> ST. Pirâmide dos alimentos. Fundamentos básicos da nutrição. Barueri: </w:t>
      </w:r>
      <w:proofErr w:type="spellStart"/>
      <w:r w:rsidRPr="00735C45">
        <w:rPr>
          <w:rFonts w:cs="Arial"/>
          <w:sz w:val="24"/>
        </w:rPr>
        <w:t>Manole</w:t>
      </w:r>
      <w:proofErr w:type="spellEnd"/>
      <w:r w:rsidRPr="00735C45">
        <w:rPr>
          <w:rFonts w:cs="Arial"/>
          <w:sz w:val="24"/>
        </w:rPr>
        <w:t>, 2008.</w:t>
      </w:r>
    </w:p>
    <w:p w:rsidR="000A211A" w:rsidRPr="00735C45" w:rsidRDefault="000A211A" w:rsidP="000A211A">
      <w:pPr>
        <w:rPr>
          <w:rFonts w:cs="Arial"/>
          <w:sz w:val="24"/>
        </w:rPr>
      </w:pPr>
      <w:r w:rsidRPr="000A211A">
        <w:rPr>
          <w:rFonts w:cs="Arial"/>
          <w:sz w:val="24"/>
          <w:vertAlign w:val="superscript"/>
        </w:rPr>
        <w:t>[5]</w:t>
      </w:r>
      <w:r w:rsidRPr="00735C45">
        <w:rPr>
          <w:rFonts w:cs="Arial"/>
          <w:sz w:val="24"/>
        </w:rPr>
        <w:t xml:space="preserve"> Oliveira MA, Osório MM. Consumo de leite de vaca e anemia </w:t>
      </w:r>
      <w:proofErr w:type="spellStart"/>
      <w:r w:rsidRPr="00735C45">
        <w:rPr>
          <w:rFonts w:cs="Arial"/>
          <w:sz w:val="24"/>
        </w:rPr>
        <w:t>ferropriva</w:t>
      </w:r>
      <w:proofErr w:type="spellEnd"/>
      <w:r w:rsidRPr="00735C45">
        <w:rPr>
          <w:rFonts w:cs="Arial"/>
          <w:sz w:val="24"/>
        </w:rPr>
        <w:t xml:space="preserve"> na infância. J </w:t>
      </w:r>
      <w:proofErr w:type="spellStart"/>
      <w:r w:rsidRPr="00735C45">
        <w:rPr>
          <w:rFonts w:cs="Arial"/>
          <w:sz w:val="24"/>
        </w:rPr>
        <w:t>Pediatr</w:t>
      </w:r>
      <w:proofErr w:type="spellEnd"/>
      <w:r w:rsidRPr="00735C45">
        <w:rPr>
          <w:rFonts w:cs="Arial"/>
          <w:sz w:val="24"/>
        </w:rPr>
        <w:t xml:space="preserve"> (Rio J). 2005;81: 361-7. </w:t>
      </w:r>
    </w:p>
    <w:p w:rsidR="000A211A" w:rsidRPr="00735C45" w:rsidRDefault="000A211A" w:rsidP="000A211A">
      <w:pPr>
        <w:rPr>
          <w:rFonts w:cs="Arial"/>
          <w:sz w:val="24"/>
          <w:lang w:val="en-US"/>
        </w:rPr>
      </w:pPr>
      <w:r w:rsidRPr="000A211A">
        <w:rPr>
          <w:rFonts w:cs="Arial"/>
          <w:sz w:val="24"/>
          <w:vertAlign w:val="superscript"/>
        </w:rPr>
        <w:t>[6]</w:t>
      </w:r>
      <w:r w:rsidRPr="00735C45">
        <w:rPr>
          <w:rFonts w:cs="Arial"/>
          <w:sz w:val="24"/>
        </w:rPr>
        <w:t xml:space="preserve"> Ministério da Saúde. Pesquisa Nacional de Demografia e Saúde da Criança e da Mulher. </w:t>
      </w:r>
      <w:proofErr w:type="spellStart"/>
      <w:r w:rsidRPr="00735C45">
        <w:rPr>
          <w:rFonts w:cs="Arial"/>
          <w:sz w:val="24"/>
          <w:lang w:val="en-US"/>
        </w:rPr>
        <w:t>Brasil</w:t>
      </w:r>
      <w:proofErr w:type="spellEnd"/>
      <w:r w:rsidRPr="00735C45">
        <w:rPr>
          <w:rFonts w:cs="Arial"/>
          <w:sz w:val="24"/>
          <w:lang w:val="en-US"/>
        </w:rPr>
        <w:t>, 2006.</w:t>
      </w:r>
    </w:p>
    <w:p w:rsidR="000A211A" w:rsidRPr="00735C45" w:rsidRDefault="000A211A" w:rsidP="000A211A">
      <w:pPr>
        <w:rPr>
          <w:rFonts w:cs="Arial"/>
          <w:sz w:val="24"/>
          <w:lang w:val="en-US"/>
        </w:rPr>
      </w:pPr>
      <w:r w:rsidRPr="000A211A">
        <w:rPr>
          <w:rFonts w:cs="Arial"/>
          <w:sz w:val="24"/>
          <w:vertAlign w:val="superscript"/>
          <w:lang w:val="en-US"/>
        </w:rPr>
        <w:t>[7]</w:t>
      </w:r>
      <w:r w:rsidRPr="00735C45">
        <w:rPr>
          <w:rFonts w:cs="Arial"/>
          <w:sz w:val="24"/>
          <w:lang w:val="en-US"/>
        </w:rPr>
        <w:t xml:space="preserve"> WHO. Global Database on Vitamin A Deficiency in Brazil. Geneva, World Health Organization, 2006.</w:t>
      </w:r>
    </w:p>
    <w:p w:rsidR="000A211A" w:rsidRPr="00735C45" w:rsidRDefault="000A211A" w:rsidP="000A211A">
      <w:pPr>
        <w:rPr>
          <w:rFonts w:cs="Arial"/>
          <w:sz w:val="24"/>
          <w:lang w:val="en-US"/>
        </w:rPr>
      </w:pPr>
      <w:r w:rsidRPr="000A211A">
        <w:rPr>
          <w:rFonts w:cs="Arial"/>
          <w:sz w:val="24"/>
          <w:vertAlign w:val="superscript"/>
          <w:lang w:val="en-US"/>
        </w:rPr>
        <w:t>[8]</w:t>
      </w:r>
      <w:r w:rsidRPr="00735C45">
        <w:rPr>
          <w:rFonts w:cs="Arial"/>
          <w:sz w:val="24"/>
          <w:lang w:val="en-US"/>
        </w:rPr>
        <w:t xml:space="preserve"> WHO. Report of a joint WHO/UNICEF/UNO expert consultation. Iron deficiency </w:t>
      </w:r>
      <w:proofErr w:type="spellStart"/>
      <w:r w:rsidRPr="00735C45">
        <w:rPr>
          <w:rFonts w:cs="Arial"/>
          <w:sz w:val="24"/>
          <w:lang w:val="en-US"/>
        </w:rPr>
        <w:t>anaemia</w:t>
      </w:r>
      <w:proofErr w:type="spellEnd"/>
      <w:r w:rsidRPr="00735C45">
        <w:rPr>
          <w:rFonts w:cs="Arial"/>
          <w:sz w:val="24"/>
          <w:lang w:val="en-US"/>
        </w:rPr>
        <w:t xml:space="preserve">: assessment, prevention and control. A guide for </w:t>
      </w:r>
      <w:proofErr w:type="spellStart"/>
      <w:r w:rsidRPr="00735C45">
        <w:rPr>
          <w:rFonts w:cs="Arial"/>
          <w:sz w:val="24"/>
          <w:lang w:val="en-US"/>
        </w:rPr>
        <w:t>programme</w:t>
      </w:r>
      <w:proofErr w:type="spellEnd"/>
      <w:r w:rsidRPr="00735C45">
        <w:rPr>
          <w:rFonts w:cs="Arial"/>
          <w:sz w:val="24"/>
          <w:lang w:val="en-US"/>
        </w:rPr>
        <w:t xml:space="preserve"> managers. Geneva: WHO, 2001. </w:t>
      </w:r>
    </w:p>
    <w:p w:rsidR="000A211A" w:rsidRPr="00735C45" w:rsidRDefault="000A211A" w:rsidP="000A211A">
      <w:pPr>
        <w:rPr>
          <w:rFonts w:cs="Arial"/>
          <w:sz w:val="24"/>
          <w:lang w:val="en-US"/>
        </w:rPr>
      </w:pPr>
      <w:r w:rsidRPr="000A211A">
        <w:rPr>
          <w:rFonts w:cs="Arial"/>
          <w:sz w:val="24"/>
          <w:vertAlign w:val="superscript"/>
        </w:rPr>
        <w:t>[9]</w:t>
      </w:r>
      <w:r w:rsidRPr="006C5E55">
        <w:rPr>
          <w:rFonts w:cs="Arial"/>
          <w:sz w:val="24"/>
        </w:rPr>
        <w:t xml:space="preserve"> Pinheiro MM, </w:t>
      </w:r>
      <w:proofErr w:type="spellStart"/>
      <w:r w:rsidRPr="006C5E55">
        <w:rPr>
          <w:rFonts w:cs="Arial"/>
          <w:sz w:val="24"/>
        </w:rPr>
        <w:t>Schuch</w:t>
      </w:r>
      <w:proofErr w:type="spellEnd"/>
      <w:r w:rsidRPr="006C5E55">
        <w:rPr>
          <w:rFonts w:cs="Arial"/>
          <w:sz w:val="24"/>
        </w:rPr>
        <w:t xml:space="preserve"> NJ, Genaro PS </w:t>
      </w:r>
      <w:proofErr w:type="spellStart"/>
      <w:r w:rsidRPr="006C5E55">
        <w:rPr>
          <w:rFonts w:cs="Arial"/>
          <w:sz w:val="24"/>
        </w:rPr>
        <w:t>et</w:t>
      </w:r>
      <w:proofErr w:type="spellEnd"/>
      <w:r w:rsidRPr="006C5E55">
        <w:rPr>
          <w:rFonts w:cs="Arial"/>
          <w:sz w:val="24"/>
        </w:rPr>
        <w:t xml:space="preserve"> al. </w:t>
      </w:r>
      <w:r w:rsidRPr="00735C45">
        <w:rPr>
          <w:rFonts w:cs="Arial"/>
          <w:sz w:val="24"/>
          <w:lang w:val="en-US"/>
        </w:rPr>
        <w:t xml:space="preserve">Nutrient intakes related to osteoporotic fractures in men and women – The Brazilian Osteoporosis Study (BRAZOS). Nutrition Journal; v.8, n.6, p.1-8, 2009. </w:t>
      </w:r>
    </w:p>
    <w:p w:rsidR="000A211A" w:rsidRPr="00735C45" w:rsidRDefault="000A211A" w:rsidP="000A211A">
      <w:pPr>
        <w:rPr>
          <w:rFonts w:cs="Arial"/>
          <w:sz w:val="24"/>
        </w:rPr>
      </w:pPr>
      <w:r w:rsidRPr="000A211A">
        <w:rPr>
          <w:rFonts w:cs="Arial"/>
          <w:sz w:val="24"/>
          <w:vertAlign w:val="superscript"/>
          <w:lang w:val="en-US"/>
        </w:rPr>
        <w:t>[10]</w:t>
      </w:r>
      <w:r w:rsidRPr="00735C45">
        <w:rPr>
          <w:rFonts w:cs="Arial"/>
          <w:sz w:val="24"/>
          <w:lang w:val="en-US"/>
        </w:rPr>
        <w:t xml:space="preserve"> </w:t>
      </w:r>
      <w:proofErr w:type="spellStart"/>
      <w:r w:rsidRPr="00735C45">
        <w:rPr>
          <w:rFonts w:cs="Arial"/>
          <w:sz w:val="24"/>
          <w:lang w:val="en-US"/>
        </w:rPr>
        <w:t>Saraiva</w:t>
      </w:r>
      <w:proofErr w:type="spellEnd"/>
      <w:r w:rsidRPr="00735C45">
        <w:rPr>
          <w:rFonts w:cs="Arial"/>
          <w:sz w:val="24"/>
          <w:lang w:val="en-US"/>
        </w:rPr>
        <w:t xml:space="preserve"> GL et al. Prevalence of vita</w:t>
      </w:r>
      <w:bookmarkStart w:id="0" w:name="_GoBack"/>
      <w:bookmarkEnd w:id="0"/>
      <w:r w:rsidRPr="00735C45">
        <w:rPr>
          <w:rFonts w:cs="Arial"/>
          <w:sz w:val="24"/>
          <w:lang w:val="en-US"/>
        </w:rPr>
        <w:t xml:space="preserve">min D deficiency, insufficiency and secondary hyperparathyroidism in the elderly inpatients and living in the community of the city of São Paulo, Brazil. </w:t>
      </w:r>
      <w:proofErr w:type="spellStart"/>
      <w:r w:rsidRPr="00735C45">
        <w:rPr>
          <w:rFonts w:cs="Arial"/>
          <w:sz w:val="24"/>
        </w:rPr>
        <w:t>Arq</w:t>
      </w:r>
      <w:proofErr w:type="spellEnd"/>
      <w:r w:rsidRPr="00735C45">
        <w:rPr>
          <w:rFonts w:cs="Arial"/>
          <w:sz w:val="24"/>
        </w:rPr>
        <w:t xml:space="preserve"> </w:t>
      </w:r>
      <w:proofErr w:type="spellStart"/>
      <w:r w:rsidRPr="00735C45">
        <w:rPr>
          <w:rFonts w:cs="Arial"/>
          <w:sz w:val="24"/>
        </w:rPr>
        <w:t>Bras</w:t>
      </w:r>
      <w:proofErr w:type="spellEnd"/>
      <w:r w:rsidRPr="00735C45">
        <w:rPr>
          <w:rFonts w:cs="Arial"/>
          <w:sz w:val="24"/>
        </w:rPr>
        <w:t xml:space="preserve"> </w:t>
      </w:r>
      <w:proofErr w:type="spellStart"/>
      <w:r w:rsidRPr="00735C45">
        <w:rPr>
          <w:rFonts w:cs="Arial"/>
          <w:sz w:val="24"/>
        </w:rPr>
        <w:t>Endocrinol</w:t>
      </w:r>
      <w:proofErr w:type="spellEnd"/>
      <w:r w:rsidRPr="00735C45">
        <w:rPr>
          <w:rFonts w:cs="Arial"/>
          <w:sz w:val="24"/>
        </w:rPr>
        <w:t xml:space="preserve"> </w:t>
      </w:r>
      <w:proofErr w:type="spellStart"/>
      <w:r w:rsidRPr="00735C45">
        <w:rPr>
          <w:rFonts w:cs="Arial"/>
          <w:sz w:val="24"/>
        </w:rPr>
        <w:t>Metabol</w:t>
      </w:r>
      <w:proofErr w:type="spellEnd"/>
      <w:r w:rsidRPr="00735C45">
        <w:rPr>
          <w:rFonts w:cs="Arial"/>
          <w:sz w:val="24"/>
        </w:rPr>
        <w:t>; 51(3):437-42. 2007.</w:t>
      </w:r>
    </w:p>
    <w:p w:rsidR="000A211A" w:rsidRPr="00735C45" w:rsidRDefault="000A211A" w:rsidP="000A211A">
      <w:pPr>
        <w:rPr>
          <w:rFonts w:cs="Arial"/>
          <w:sz w:val="24"/>
          <w:lang w:val="en-US"/>
        </w:rPr>
      </w:pPr>
      <w:r w:rsidRPr="000A211A">
        <w:rPr>
          <w:rFonts w:cs="Arial"/>
          <w:sz w:val="24"/>
          <w:vertAlign w:val="superscript"/>
        </w:rPr>
        <w:t>[11]</w:t>
      </w:r>
      <w:r w:rsidRPr="00735C45">
        <w:rPr>
          <w:rFonts w:cs="Arial"/>
          <w:sz w:val="24"/>
        </w:rPr>
        <w:t xml:space="preserve"> Instituto Brasileiro de Geografia e Estatística (IBGE). Pesquisa de orçamentos familiares, 2008-2009 (POF): análise do consumo alimentar no Brasil. </w:t>
      </w:r>
      <w:r w:rsidRPr="00735C45">
        <w:rPr>
          <w:rFonts w:cs="Arial"/>
          <w:sz w:val="24"/>
          <w:lang w:val="en-US"/>
        </w:rPr>
        <w:t>Rio de Janeiro, 2011.</w:t>
      </w:r>
    </w:p>
    <w:p w:rsidR="000A211A" w:rsidRPr="00735C45" w:rsidRDefault="000A211A" w:rsidP="000A211A">
      <w:pPr>
        <w:rPr>
          <w:sz w:val="24"/>
          <w:lang w:val="en-US"/>
        </w:rPr>
      </w:pPr>
      <w:r w:rsidRPr="000A211A">
        <w:rPr>
          <w:rFonts w:cs="Arial"/>
          <w:sz w:val="24"/>
          <w:vertAlign w:val="superscript"/>
          <w:lang w:val="en-US"/>
        </w:rPr>
        <w:t>[12]</w:t>
      </w:r>
      <w:r w:rsidRPr="00735C45">
        <w:rPr>
          <w:rFonts w:cs="Arial"/>
          <w:sz w:val="24"/>
          <w:lang w:val="en-US"/>
        </w:rPr>
        <w:t xml:space="preserve"> Institute of Medicine. Dietary Reference Intakes for Calcium and Vitamin D. Washington, D.C.: National Academies Press, 2010.</w:t>
      </w:r>
    </w:p>
    <w:p w:rsidR="000A211A" w:rsidRPr="003E2949" w:rsidRDefault="000A211A" w:rsidP="000A211A">
      <w:pPr>
        <w:pStyle w:val="Body1"/>
        <w:spacing w:line="276" w:lineRule="auto"/>
        <w:jc w:val="both"/>
        <w:rPr>
          <w:rFonts w:ascii="Trebuchet MS" w:hAnsi="Trebuchet MS" w:cs="Arial"/>
          <w:b/>
          <w:color w:val="17365D"/>
          <w:szCs w:val="24"/>
          <w:lang w:val="en-US"/>
        </w:rPr>
      </w:pPr>
    </w:p>
    <w:p w:rsidR="003372CF" w:rsidRPr="003372CF" w:rsidRDefault="003372CF" w:rsidP="003372CF">
      <w:pPr>
        <w:rPr>
          <w:b/>
          <w:sz w:val="24"/>
          <w:lang w:val="en-US"/>
        </w:rPr>
      </w:pPr>
      <w:r w:rsidRPr="003372CF">
        <w:rPr>
          <w:b/>
          <w:sz w:val="24"/>
          <w:lang w:val="en-US"/>
        </w:rPr>
        <w:t xml:space="preserve">DSM Produtos </w:t>
      </w:r>
      <w:proofErr w:type="spellStart"/>
      <w:r w:rsidRPr="003372CF">
        <w:rPr>
          <w:b/>
          <w:sz w:val="24"/>
          <w:lang w:val="en-US"/>
        </w:rPr>
        <w:t>Nutricionais</w:t>
      </w:r>
      <w:proofErr w:type="spellEnd"/>
      <w:r w:rsidRPr="003372CF">
        <w:rPr>
          <w:b/>
          <w:sz w:val="24"/>
          <w:lang w:val="en-US"/>
        </w:rPr>
        <w:t xml:space="preserve"> </w:t>
      </w:r>
      <w:proofErr w:type="spellStart"/>
      <w:r w:rsidRPr="003372CF">
        <w:rPr>
          <w:b/>
          <w:sz w:val="24"/>
          <w:lang w:val="en-US"/>
        </w:rPr>
        <w:t>Brasil</w:t>
      </w:r>
      <w:proofErr w:type="spellEnd"/>
      <w:r w:rsidRPr="003372CF">
        <w:rPr>
          <w:b/>
          <w:sz w:val="24"/>
          <w:lang w:val="en-US"/>
        </w:rPr>
        <w:t xml:space="preserve"> Ltda.</w:t>
      </w:r>
    </w:p>
    <w:p w:rsidR="003372CF" w:rsidRPr="003372CF" w:rsidRDefault="003372CF" w:rsidP="003372CF">
      <w:pPr>
        <w:rPr>
          <w:sz w:val="24"/>
          <w:lang w:val="en-US"/>
        </w:rPr>
      </w:pPr>
      <w:r w:rsidRPr="003372CF">
        <w:rPr>
          <w:sz w:val="24"/>
          <w:lang w:val="en-US"/>
        </w:rPr>
        <w:t>Tel.: (11) 3760-6300</w:t>
      </w:r>
    </w:p>
    <w:p w:rsidR="003372CF" w:rsidRPr="003372CF" w:rsidRDefault="003372CF" w:rsidP="003372CF">
      <w:pPr>
        <w:rPr>
          <w:i/>
          <w:color w:val="0070C0"/>
          <w:sz w:val="24"/>
          <w:lang w:val="en-US"/>
        </w:rPr>
      </w:pPr>
      <w:r w:rsidRPr="003372CF">
        <w:rPr>
          <w:i/>
          <w:color w:val="0070C0"/>
          <w:sz w:val="24"/>
          <w:lang w:val="en-US"/>
        </w:rPr>
        <w:t>www.dsm.com/human-nutrition</w:t>
      </w:r>
    </w:p>
    <w:p w:rsidR="003372CF" w:rsidRPr="003372CF" w:rsidRDefault="003372CF" w:rsidP="003372CF">
      <w:pPr>
        <w:rPr>
          <w:i/>
          <w:color w:val="0070C0"/>
          <w:sz w:val="24"/>
          <w:lang w:val="en-US"/>
        </w:rPr>
      </w:pPr>
      <w:r w:rsidRPr="003372CF">
        <w:rPr>
          <w:i/>
          <w:color w:val="0070C0"/>
          <w:sz w:val="24"/>
          <w:lang w:val="en-US"/>
        </w:rPr>
        <w:t>america-latina.dnp@dsm.com</w:t>
      </w:r>
    </w:p>
    <w:p w:rsidR="000A211A" w:rsidRPr="003E2949" w:rsidRDefault="000A211A" w:rsidP="000A211A">
      <w:pPr>
        <w:rPr>
          <w:lang w:val="en-US"/>
        </w:rPr>
      </w:pPr>
    </w:p>
    <w:p w:rsidR="00540847" w:rsidRDefault="00540847"/>
    <w:sectPr w:rsidR="00540847" w:rsidSect="0054084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A211A"/>
    <w:rsid w:val="000A211A"/>
    <w:rsid w:val="00254A60"/>
    <w:rsid w:val="003372CF"/>
    <w:rsid w:val="00540847"/>
    <w:rsid w:val="006A726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11A"/>
    <w:pPr>
      <w:adjustRightInd w:val="0"/>
      <w:snapToGrid w:val="0"/>
      <w:spacing w:line="240" w:lineRule="atLeast"/>
      <w:jc w:val="left"/>
    </w:pPr>
    <w:rPr>
      <w:rFonts w:ascii="Trebuchet MS" w:eastAsia="Times New Roman" w:hAnsi="Trebuchet MS" w:cs="Times New Roman"/>
      <w:sz w:val="20"/>
      <w:szCs w:val="24"/>
      <w:lang w:eastAsia="de-CH"/>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0A211A"/>
  </w:style>
  <w:style w:type="character" w:customStyle="1" w:styleId="RecuodecorpodetextoChar">
    <w:name w:val="Recuo de corpo de texto Char"/>
    <w:basedOn w:val="Fontepargpadro"/>
    <w:link w:val="Recuodecorpodetexto"/>
    <w:rsid w:val="000A211A"/>
    <w:rPr>
      <w:rFonts w:ascii="Trebuchet MS" w:eastAsia="Times New Roman" w:hAnsi="Trebuchet MS" w:cs="Times New Roman"/>
      <w:sz w:val="20"/>
      <w:szCs w:val="24"/>
      <w:lang w:eastAsia="de-CH"/>
    </w:rPr>
  </w:style>
  <w:style w:type="paragraph" w:styleId="Recuodecorpodetexto3">
    <w:name w:val="Body Text Indent 3"/>
    <w:basedOn w:val="Normal"/>
    <w:link w:val="Recuodecorpodetexto3Char"/>
    <w:rsid w:val="000A211A"/>
    <w:rPr>
      <w:szCs w:val="16"/>
    </w:rPr>
  </w:style>
  <w:style w:type="character" w:customStyle="1" w:styleId="Recuodecorpodetexto3Char">
    <w:name w:val="Recuo de corpo de texto 3 Char"/>
    <w:basedOn w:val="Fontepargpadro"/>
    <w:link w:val="Recuodecorpodetexto3"/>
    <w:rsid w:val="000A211A"/>
    <w:rPr>
      <w:rFonts w:ascii="Trebuchet MS" w:eastAsia="Times New Roman" w:hAnsi="Trebuchet MS" w:cs="Times New Roman"/>
      <w:sz w:val="20"/>
      <w:szCs w:val="16"/>
      <w:lang w:eastAsia="de-CH"/>
    </w:rPr>
  </w:style>
  <w:style w:type="paragraph" w:styleId="Textodebalo">
    <w:name w:val="Balloon Text"/>
    <w:basedOn w:val="Normal"/>
    <w:link w:val="TextodebaloChar"/>
    <w:uiPriority w:val="99"/>
    <w:semiHidden/>
    <w:unhideWhenUsed/>
    <w:rsid w:val="000A211A"/>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A211A"/>
    <w:rPr>
      <w:rFonts w:ascii="Tahoma" w:eastAsia="Times New Roman" w:hAnsi="Tahoma" w:cs="Tahoma"/>
      <w:sz w:val="16"/>
      <w:szCs w:val="16"/>
      <w:lang w:eastAsia="de-CH"/>
    </w:rPr>
  </w:style>
  <w:style w:type="paragraph" w:customStyle="1" w:styleId="Body1">
    <w:name w:val="Body 1"/>
    <w:rsid w:val="000A211A"/>
    <w:pPr>
      <w:jc w:val="left"/>
    </w:pPr>
    <w:rPr>
      <w:rFonts w:ascii="Helvetica" w:eastAsia="Arial Unicode MS" w:hAnsi="Helvetica" w:cs="Times New Roman"/>
      <w:color w:val="000000"/>
      <w:sz w:val="24"/>
      <w:szCs w:val="20"/>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2725</Words>
  <Characters>14715</Characters>
  <Application>Microsoft Office Word</Application>
  <DocSecurity>0</DocSecurity>
  <Lines>122</Lines>
  <Paragraphs>34</Paragraphs>
  <ScaleCrop>false</ScaleCrop>
  <Company/>
  <LinksUpToDate>false</LinksUpToDate>
  <CharactersWithSpaces>17406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 Insumos</dc:creator>
  <cp:lastModifiedBy>Marcia Insumos</cp:lastModifiedBy>
  <cp:revision>2</cp:revision>
  <dcterms:created xsi:type="dcterms:W3CDTF">2013-09-22T22:54:00Z</dcterms:created>
  <dcterms:modified xsi:type="dcterms:W3CDTF">2013-09-22T23:05:00Z</dcterms:modified>
</cp:coreProperties>
</file>