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BC5" w:rsidRPr="000A2BC5" w:rsidRDefault="000A2BC5" w:rsidP="000A2BC5">
      <w:pPr>
        <w:pStyle w:val="Subject"/>
        <w:spacing w:line="240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0A2BC5">
        <w:rPr>
          <w:rFonts w:ascii="Times New Roman" w:hAnsi="Times New Roman"/>
          <w:bCs/>
          <w:sz w:val="22"/>
          <w:szCs w:val="22"/>
          <w:lang w:val="pt-BR"/>
        </w:rPr>
        <w:t>NOVA PESQUISA SOBRE BETA-GLUCANA DA AVEIA CONFIRMA O PAPEL DA VISCOSIDADE EM OBTER MAIORES BENEFÍCIOS DE REDUÇÃO DO COLESTEROL</w:t>
      </w:r>
    </w:p>
    <w:p w:rsidR="000A2BC5" w:rsidRPr="000A2BC5" w:rsidRDefault="000A2BC5" w:rsidP="000A2BC5">
      <w:pPr>
        <w:autoSpaceDE w:val="0"/>
        <w:autoSpaceDN w:val="0"/>
        <w:snapToGrid/>
        <w:spacing w:line="240" w:lineRule="auto"/>
        <w:jc w:val="both"/>
        <w:rPr>
          <w:rFonts w:ascii="Times New Roman" w:hAnsi="Times New Roman"/>
          <w:szCs w:val="20"/>
          <w:lang w:val="pt-BR"/>
        </w:rPr>
      </w:pPr>
    </w:p>
    <w:p w:rsidR="000A2BC5" w:rsidRPr="000A2BC5" w:rsidRDefault="000A2BC5" w:rsidP="000A2BC5">
      <w:pPr>
        <w:spacing w:line="240" w:lineRule="auto"/>
        <w:jc w:val="both"/>
        <w:rPr>
          <w:rFonts w:ascii="Times New Roman" w:eastAsiaTheme="minorEastAsia" w:hAnsi="Times New Roman"/>
          <w:b/>
          <w:i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b/>
          <w:i/>
          <w:sz w:val="22"/>
          <w:szCs w:val="22"/>
          <w:lang w:val="pt-BR" w:eastAsia="zh-CN"/>
        </w:rPr>
        <w:t>A beta-glucana é uma fibra solúvel encontrada na aveia. Este ingrediente de origem natural é particularmente conhecido por seus benefícios à saúde do coração e ajuda a reduzir o colesterol e os riscos associados à doença cardiovascular (DCV). Diversos estudos clínicos mostram que 3g de beta-glucana de aveia por dia reduz o risco de doença cardiovascular em quase 20%.</w:t>
      </w:r>
    </w:p>
    <w:p w:rsidR="000A2BC5" w:rsidRPr="000A2BC5" w:rsidRDefault="000A2BC5" w:rsidP="000A2BC5">
      <w:pPr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</w:p>
    <w:p w:rsidR="000A2BC5" w:rsidRPr="000A2BC5" w:rsidRDefault="000A2BC5" w:rsidP="000A2BC5">
      <w:pPr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Uma nova meta-análise publicada no </w:t>
      </w:r>
      <w:r w:rsidRPr="000A2BC5">
        <w:rPr>
          <w:rFonts w:ascii="Times New Roman" w:eastAsiaTheme="minorEastAsia" w:hAnsi="Times New Roman"/>
          <w:i/>
          <w:iCs/>
          <w:sz w:val="22"/>
          <w:szCs w:val="22"/>
          <w:lang w:val="pt-BR" w:eastAsia="zh-CN"/>
        </w:rPr>
        <w:t>American Journal of Clinical Nutrition</w:t>
      </w:r>
      <w:r w:rsidRPr="000A2BC5">
        <w:rPr>
          <w:rFonts w:ascii="Times New Roman" w:eastAsiaTheme="minorEastAsia" w:hAnsi="Times New Roman"/>
          <w:iCs/>
          <w:sz w:val="22"/>
          <w:szCs w:val="22"/>
          <w:vertAlign w:val="superscript"/>
          <w:lang w:val="pt-BR" w:eastAsia="zh-CN"/>
        </w:rPr>
        <w:t>(1)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mostra que o consumo diário de pelo menos 3g de beta-glucana de aveia reduz os níveis de colesterol. Esse efeito foi observado em homens e mulheres adultos magros, com sobrepeso e obesos, com e sem diabetes tipo 2, por meio de 28 ensaios clínicos randomizados. </w:t>
      </w:r>
    </w:p>
    <w:p w:rsidR="000A2BC5" w:rsidRPr="000A2BC5" w:rsidRDefault="000A2BC5" w:rsidP="000A2BC5">
      <w:pPr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Reduzir o colesterol para diminuir o risco cardiovascular é uma mudança de estilo de vida aceita e recomendada pelas diretivas europeias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(2)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e norte-americanas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(3)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. As alegações de saúde sobre a associação entre redução do colesterol e consumo de fibras solúveis de pelo menos 3g por dia de beta-glucana de aveia foram aprovadas pelas agências de alimentos em todo o mundo, incluindo a EFSA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(4)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e o FDA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(5)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. O efeito da redução do colesterol decorrente do consumo de beta-glucana de aveia depende da sua viscosidade no intestino delgado, e, consequentemente, do seu peso molecular. Um peso molecular elevado significa que a beta-glucana pode ser liberadas da matriz de alimentos durante a digestão e formar um gel viscoso no interior do intestino delgado. </w:t>
      </w:r>
    </w:p>
    <w:p w:rsidR="000A2BC5" w:rsidRPr="000A2BC5" w:rsidRDefault="000A2BC5" w:rsidP="000A2BC5">
      <w:pPr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O Dr. Thomas </w:t>
      </w:r>
      <w:proofErr w:type="spellStart"/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Wolever</w:t>
      </w:r>
      <w:proofErr w:type="spellEnd"/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, autor do estudo, explica: “</w:t>
      </w:r>
      <w:r w:rsidRPr="000A2BC5">
        <w:rPr>
          <w:rFonts w:ascii="Times New Roman" w:eastAsiaTheme="minorEastAsia" w:hAnsi="Times New Roman"/>
          <w:i/>
          <w:sz w:val="22"/>
          <w:szCs w:val="22"/>
          <w:lang w:val="pt-BR" w:eastAsia="zh-CN"/>
        </w:rPr>
        <w:t>Atualmente, sabemos mais sobre a importância das propriedades físico-químicas da beta-glucana de aveia na determinação da sua capacidade de reduzir o colesterol e glicose no sangue em seres humanos. A nossa meta-análise é a primeira a levar essa informação em conta, incluindo apenas estudos utilizando beta-glucana de aveia com alto peso molecular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”.</w:t>
      </w:r>
    </w:p>
    <w:p w:rsidR="000A2BC5" w:rsidRPr="000A2BC5" w:rsidRDefault="000A2BC5" w:rsidP="000A2BC5">
      <w:pPr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Diversos estudos clínicos realizados com OatWell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®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, a beta-glucana de aveia da DSM, também confirmam esse efeito positivo, assim como a opinião positiva da AESA. A eficácia comprovada de OatWell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®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foi a base para a apresentação do Artigo 14 da AESA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(6)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. </w:t>
      </w:r>
    </w:p>
    <w:p w:rsidR="000A2BC5" w:rsidRPr="000A2BC5" w:rsidRDefault="000A2BC5" w:rsidP="000A2BC5">
      <w:pPr>
        <w:tabs>
          <w:tab w:val="left" w:pos="3720"/>
        </w:tabs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hAnsi="Times New Roman"/>
          <w:noProof/>
          <w:sz w:val="22"/>
          <w:szCs w:val="22"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2938780</wp:posOffset>
            </wp:positionH>
            <wp:positionV relativeFrom="paragraph">
              <wp:posOffset>29210</wp:posOffset>
            </wp:positionV>
            <wp:extent cx="3343275" cy="895350"/>
            <wp:effectExtent l="19050" t="0" r="9525" b="0"/>
            <wp:wrapSquare wrapText="bothSides"/>
            <wp:docPr id="2" name="Imagem 2" descr="oatwell(R)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twell(R)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Um artigo recente publicado no </w:t>
      </w:r>
      <w:r w:rsidRPr="000A2BC5">
        <w:rPr>
          <w:rFonts w:ascii="Times New Roman" w:eastAsiaTheme="minorEastAsia" w:hAnsi="Times New Roman"/>
          <w:i/>
          <w:iCs/>
          <w:sz w:val="22"/>
          <w:szCs w:val="22"/>
          <w:lang w:val="pt-BR" w:eastAsia="zh-CN"/>
        </w:rPr>
        <w:t>British Journal of Nutrition</w:t>
      </w:r>
      <w:r w:rsidRPr="000A2BC5">
        <w:rPr>
          <w:rFonts w:ascii="Times New Roman" w:eastAsiaTheme="minorEastAsia" w:hAnsi="Times New Roman"/>
          <w:iCs/>
          <w:sz w:val="22"/>
          <w:szCs w:val="22"/>
          <w:vertAlign w:val="superscript"/>
          <w:lang w:val="pt-BR" w:eastAsia="zh-CN"/>
        </w:rPr>
        <w:t>(7)</w:t>
      </w:r>
      <w:r>
        <w:rPr>
          <w:rFonts w:ascii="Times New Roman" w:eastAsiaTheme="minorEastAsia" w:hAnsi="Times New Roman"/>
          <w:iCs/>
          <w:sz w:val="22"/>
          <w:szCs w:val="22"/>
          <w:vertAlign w:val="superscript"/>
          <w:lang w:val="pt-BR" w:eastAsia="zh-CN"/>
        </w:rPr>
        <w:t xml:space="preserve"> 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analisa mais detalhadamente as propriedades funcionais da beta-glucana de aveia. Os autores analisam diversos estudos utilizando OatWell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®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que demonstram que a beta-glucana da aveia, com alta viscosidade, pode reduzir o colesterol e o aumento dos níveis de açúcar no sangue depois de comer. Isto incluiu a beta-glucana de aveia em matrizes de alimentos como farelo de aveia e cereais de farelo de aveia.</w:t>
      </w:r>
    </w:p>
    <w:p w:rsidR="000A2BC5" w:rsidRPr="000A2BC5" w:rsidRDefault="000A2BC5" w:rsidP="000A2BC5">
      <w:pPr>
        <w:adjustRightInd/>
        <w:snapToGrid/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Para consumir a quantidade recomendada de 3g por dia de beta-glucana de aveia, basta ingerir 11g de OatWell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®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para atingir o mesmo efeito que três porções (até 90g) de aveia. </w:t>
      </w:r>
    </w:p>
    <w:p w:rsidR="000A2BC5" w:rsidRPr="000A2BC5" w:rsidRDefault="000A2BC5" w:rsidP="000A2BC5">
      <w:pPr>
        <w:spacing w:line="240" w:lineRule="auto"/>
        <w:jc w:val="both"/>
        <w:rPr>
          <w:rFonts w:ascii="Times New Roman" w:eastAsiaTheme="minorEastAsia" w:hAnsi="Times New Roman"/>
          <w:sz w:val="22"/>
          <w:szCs w:val="22"/>
          <w:lang w:val="pt-BR" w:eastAsia="zh-CN"/>
        </w:rPr>
      </w:pP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>DSM tem trabalhado com seus clientes para aumentar a conscientização dos consumidores sobre os benefícios da beta-glucana da aveia.  OatWell</w:t>
      </w:r>
      <w:r w:rsidRPr="000A2BC5">
        <w:rPr>
          <w:rFonts w:ascii="Times New Roman" w:eastAsiaTheme="minorEastAsia" w:hAnsi="Times New Roman"/>
          <w:sz w:val="22"/>
          <w:szCs w:val="22"/>
          <w:vertAlign w:val="superscript"/>
          <w:lang w:val="pt-BR" w:eastAsia="zh-CN"/>
        </w:rPr>
        <w:t>®</w:t>
      </w:r>
      <w:r w:rsidRPr="000A2BC5">
        <w:rPr>
          <w:rFonts w:ascii="Times New Roman" w:eastAsiaTheme="minorEastAsia" w:hAnsi="Times New Roman"/>
          <w:sz w:val="22"/>
          <w:szCs w:val="22"/>
          <w:lang w:val="pt-BR" w:eastAsia="zh-CN"/>
        </w:rPr>
        <w:t xml:space="preserve"> está disponível na forma de farinha ou em pó, sendo adequado para uso em diversas aplicações, entre elas pães, biscoitos, cereais, massas, bebidas, bebidas instantâneas e os suplementos dietéticos. </w:t>
      </w:r>
    </w:p>
    <w:p w:rsidR="000A2BC5" w:rsidRDefault="000A2BC5" w:rsidP="000A2BC5">
      <w:p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pt-BR" w:eastAsia="zh-CN"/>
        </w:rPr>
      </w:pPr>
    </w:p>
    <w:p w:rsidR="000A2BC5" w:rsidRPr="000A2BC5" w:rsidRDefault="000A2BC5" w:rsidP="000A2BC5">
      <w:pPr>
        <w:pStyle w:val="Ttulo2"/>
        <w:numPr>
          <w:ilvl w:val="0"/>
          <w:numId w:val="0"/>
        </w:numPr>
        <w:spacing w:line="240" w:lineRule="auto"/>
        <w:jc w:val="both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color w:val="0070C0"/>
          <w:sz w:val="22"/>
          <w:szCs w:val="22"/>
        </w:rPr>
        <w:t>DSM -</w:t>
      </w:r>
      <w:r w:rsidRPr="000A2BC5">
        <w:rPr>
          <w:rFonts w:ascii="Times New Roman" w:hAnsi="Times New Roman" w:cs="Times New Roman"/>
          <w:color w:val="0070C0"/>
          <w:sz w:val="22"/>
          <w:szCs w:val="22"/>
        </w:rPr>
        <w:t xml:space="preserve"> Bright Science. Brighter Living™ </w:t>
      </w:r>
    </w:p>
    <w:p w:rsidR="000A2BC5" w:rsidRPr="000A2BC5" w:rsidRDefault="000A2BC5" w:rsidP="000A2BC5">
      <w:pPr>
        <w:spacing w:line="240" w:lineRule="auto"/>
        <w:jc w:val="both"/>
        <w:rPr>
          <w:rFonts w:ascii="Times New Roman" w:hAnsi="Times New Roman"/>
          <w:sz w:val="22"/>
          <w:szCs w:val="22"/>
          <w:lang w:val="pt-BR"/>
        </w:rPr>
      </w:pPr>
      <w:r w:rsidRPr="000A2BC5">
        <w:rPr>
          <w:rFonts w:ascii="Times New Roman" w:hAnsi="Times New Roman"/>
          <w:sz w:val="22"/>
          <w:szCs w:val="22"/>
          <w:lang w:val="pt-BR"/>
        </w:rPr>
        <w:t xml:space="preserve">A Royal DSM é uma empresa global de base científica com atuação em nutrição, saúde e materiais. Ao associar suas competências exclusivas nas Ciências da Vida e nas Ciências dos Materiais, a DSM gera prosperidade econômica, desenvolvimento ambiental e avanços sociais, simultaneamente, criando valor sustentável para todas as partes interessadas. A DSM fornece soluções inovadoras que fomentam, protegem e aprimoram o desenvolvimento em mercados mundiais, como o de suplementos alimentares e dietéticos, cuidados pessoais, alimentação, dispositivos médicos, automotivos, tintas, elétrico e eletrônico, preservação da vida, energias alternativas e materiais biológicos. Os 24.500 funcionários da DSM geram vendas em torno de 10 bilhões de euros anuais. A empresa está cotada na NYSE </w:t>
      </w:r>
      <w:proofErr w:type="spellStart"/>
      <w:r w:rsidRPr="000A2BC5">
        <w:rPr>
          <w:rFonts w:ascii="Times New Roman" w:hAnsi="Times New Roman"/>
          <w:sz w:val="22"/>
          <w:szCs w:val="22"/>
          <w:lang w:val="pt-BR"/>
        </w:rPr>
        <w:t>Euronext</w:t>
      </w:r>
      <w:proofErr w:type="spellEnd"/>
      <w:r w:rsidRPr="000A2BC5">
        <w:rPr>
          <w:rFonts w:ascii="Times New Roman" w:hAnsi="Times New Roman"/>
          <w:sz w:val="22"/>
          <w:szCs w:val="22"/>
          <w:lang w:val="pt-BR"/>
        </w:rPr>
        <w:t xml:space="preserve">. </w:t>
      </w:r>
    </w:p>
    <w:p w:rsidR="000A2BC5" w:rsidRDefault="000A2BC5" w:rsidP="000A2BC5">
      <w:pPr>
        <w:rPr>
          <w:lang w:val="pt-BR"/>
        </w:rPr>
      </w:pP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b/>
          <w:color w:val="0070C0"/>
          <w:lang w:val="pt-BR"/>
        </w:rPr>
      </w:pPr>
      <w:r w:rsidRPr="000A2BC5">
        <w:rPr>
          <w:rFonts w:ascii="Times New Roman" w:hAnsi="Times New Roman"/>
          <w:b/>
          <w:color w:val="0070C0"/>
          <w:lang w:val="pt-BR"/>
        </w:rPr>
        <w:t>Referências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1. </w:t>
      </w:r>
      <w:proofErr w:type="spellStart"/>
      <w:r w:rsidRPr="000A2BC5">
        <w:rPr>
          <w:rFonts w:ascii="Times New Roman" w:hAnsi="Times New Roman"/>
          <w:lang w:val="pt-BR"/>
        </w:rPr>
        <w:t>Cholesterol-lowering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effects</w:t>
      </w:r>
      <w:proofErr w:type="spellEnd"/>
      <w:r w:rsidRPr="000A2BC5">
        <w:rPr>
          <w:rFonts w:ascii="Times New Roman" w:hAnsi="Times New Roman"/>
          <w:lang w:val="pt-BR"/>
        </w:rPr>
        <w:t xml:space="preserve"> of </w:t>
      </w:r>
      <w:proofErr w:type="spellStart"/>
      <w:r w:rsidRPr="000A2BC5">
        <w:rPr>
          <w:rFonts w:ascii="Times New Roman" w:hAnsi="Times New Roman"/>
          <w:lang w:val="pt-BR"/>
        </w:rPr>
        <w:t>oat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b-glucan</w:t>
      </w:r>
      <w:proofErr w:type="spellEnd"/>
      <w:r w:rsidRPr="000A2BC5">
        <w:rPr>
          <w:rFonts w:ascii="Times New Roman" w:hAnsi="Times New Roman"/>
          <w:lang w:val="pt-BR"/>
        </w:rPr>
        <w:t xml:space="preserve">: a </w:t>
      </w:r>
      <w:proofErr w:type="spellStart"/>
      <w:r w:rsidRPr="000A2BC5">
        <w:rPr>
          <w:rFonts w:ascii="Times New Roman" w:hAnsi="Times New Roman"/>
          <w:lang w:val="pt-BR"/>
        </w:rPr>
        <w:t>meta-analysis</w:t>
      </w:r>
      <w:proofErr w:type="spellEnd"/>
      <w:r w:rsidRPr="000A2BC5">
        <w:rPr>
          <w:rFonts w:ascii="Times New Roman" w:hAnsi="Times New Roman"/>
          <w:lang w:val="pt-BR"/>
        </w:rPr>
        <w:t xml:space="preserve"> of </w:t>
      </w:r>
      <w:proofErr w:type="spellStart"/>
      <w:r w:rsidRPr="000A2BC5">
        <w:rPr>
          <w:rFonts w:ascii="Times New Roman" w:hAnsi="Times New Roman"/>
          <w:lang w:val="pt-BR"/>
        </w:rPr>
        <w:t>randomized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controlled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trials</w:t>
      </w:r>
      <w:proofErr w:type="spellEnd"/>
      <w:r w:rsidRPr="000A2BC5">
        <w:rPr>
          <w:rFonts w:ascii="Times New Roman" w:hAnsi="Times New Roman"/>
          <w:lang w:val="pt-BR"/>
        </w:rPr>
        <w:t xml:space="preserve">. AJCN. </w:t>
      </w:r>
      <w:proofErr w:type="spellStart"/>
      <w:r w:rsidRPr="000A2BC5">
        <w:rPr>
          <w:rFonts w:ascii="Times New Roman" w:hAnsi="Times New Roman"/>
          <w:lang w:val="pt-BR"/>
        </w:rPr>
        <w:t>First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published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ahead</w:t>
      </w:r>
      <w:proofErr w:type="spellEnd"/>
      <w:r w:rsidRPr="000A2BC5">
        <w:rPr>
          <w:rFonts w:ascii="Times New Roman" w:hAnsi="Times New Roman"/>
          <w:lang w:val="pt-BR"/>
        </w:rPr>
        <w:t xml:space="preserve"> of </w:t>
      </w:r>
      <w:proofErr w:type="spellStart"/>
      <w:r w:rsidRPr="000A2BC5">
        <w:rPr>
          <w:rFonts w:ascii="Times New Roman" w:hAnsi="Times New Roman"/>
          <w:lang w:val="pt-BR"/>
        </w:rPr>
        <w:t>print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October</w:t>
      </w:r>
      <w:proofErr w:type="spellEnd"/>
      <w:r w:rsidRPr="000A2BC5">
        <w:rPr>
          <w:rFonts w:ascii="Times New Roman" w:hAnsi="Times New Roman"/>
          <w:lang w:val="pt-BR"/>
        </w:rPr>
        <w:t xml:space="preserve"> 15, 2014 as </w:t>
      </w:r>
      <w:proofErr w:type="spellStart"/>
      <w:r w:rsidRPr="000A2BC5">
        <w:rPr>
          <w:rFonts w:ascii="Times New Roman" w:hAnsi="Times New Roman"/>
          <w:lang w:val="pt-BR"/>
        </w:rPr>
        <w:t>doi</w:t>
      </w:r>
      <w:proofErr w:type="spellEnd"/>
      <w:r w:rsidRPr="000A2BC5">
        <w:rPr>
          <w:rFonts w:ascii="Times New Roman" w:hAnsi="Times New Roman"/>
          <w:lang w:val="pt-BR"/>
        </w:rPr>
        <w:t>: 10.3945/</w:t>
      </w:r>
      <w:proofErr w:type="spellStart"/>
      <w:r w:rsidRPr="000A2BC5">
        <w:rPr>
          <w:rFonts w:ascii="Times New Roman" w:hAnsi="Times New Roman"/>
          <w:lang w:val="pt-BR"/>
        </w:rPr>
        <w:t>ajcn</w:t>
      </w:r>
      <w:proofErr w:type="spellEnd"/>
      <w:r w:rsidRPr="000A2BC5">
        <w:rPr>
          <w:rFonts w:ascii="Times New Roman" w:hAnsi="Times New Roman"/>
          <w:lang w:val="pt-BR"/>
        </w:rPr>
        <w:t>.114.086108.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2. The </w:t>
      </w:r>
      <w:proofErr w:type="spellStart"/>
      <w:r w:rsidRPr="000A2BC5">
        <w:rPr>
          <w:rFonts w:ascii="Times New Roman" w:hAnsi="Times New Roman"/>
          <w:lang w:val="pt-BR"/>
        </w:rPr>
        <w:t>Task</w:t>
      </w:r>
      <w:proofErr w:type="spellEnd"/>
      <w:r w:rsidRPr="000A2BC5">
        <w:rPr>
          <w:rFonts w:ascii="Times New Roman" w:hAnsi="Times New Roman"/>
          <w:lang w:val="pt-BR"/>
        </w:rPr>
        <w:t xml:space="preserve"> Force for the management of </w:t>
      </w:r>
      <w:proofErr w:type="spellStart"/>
      <w:r w:rsidRPr="000A2BC5">
        <w:rPr>
          <w:rFonts w:ascii="Times New Roman" w:hAnsi="Times New Roman"/>
          <w:lang w:val="pt-BR"/>
        </w:rPr>
        <w:t>dyslipidaemias</w:t>
      </w:r>
      <w:proofErr w:type="spellEnd"/>
      <w:r w:rsidRPr="000A2BC5">
        <w:rPr>
          <w:rFonts w:ascii="Times New Roman" w:hAnsi="Times New Roman"/>
          <w:lang w:val="pt-BR"/>
        </w:rPr>
        <w:t xml:space="preserve"> of the European Society of </w:t>
      </w:r>
      <w:proofErr w:type="spellStart"/>
      <w:r w:rsidRPr="000A2BC5">
        <w:rPr>
          <w:rFonts w:ascii="Times New Roman" w:hAnsi="Times New Roman"/>
          <w:lang w:val="pt-BR"/>
        </w:rPr>
        <w:t>Cardiology</w:t>
      </w:r>
      <w:proofErr w:type="spellEnd"/>
      <w:r w:rsidRPr="000A2BC5">
        <w:rPr>
          <w:rFonts w:ascii="Times New Roman" w:hAnsi="Times New Roman"/>
          <w:lang w:val="pt-BR"/>
        </w:rPr>
        <w:t xml:space="preserve"> (ESC) and the European </w:t>
      </w:r>
      <w:proofErr w:type="spellStart"/>
      <w:r w:rsidRPr="000A2BC5">
        <w:rPr>
          <w:rFonts w:ascii="Times New Roman" w:hAnsi="Times New Roman"/>
          <w:lang w:val="pt-BR"/>
        </w:rPr>
        <w:t>Atherosclerosis</w:t>
      </w:r>
      <w:proofErr w:type="spellEnd"/>
      <w:r w:rsidRPr="000A2BC5">
        <w:rPr>
          <w:rFonts w:ascii="Times New Roman" w:hAnsi="Times New Roman"/>
          <w:lang w:val="pt-BR"/>
        </w:rPr>
        <w:t xml:space="preserve"> Society (EAS). ESC/EAS Guidelines for the management of </w:t>
      </w:r>
      <w:proofErr w:type="spellStart"/>
      <w:r w:rsidRPr="000A2BC5">
        <w:rPr>
          <w:rFonts w:ascii="Times New Roman" w:hAnsi="Times New Roman"/>
          <w:lang w:val="pt-BR"/>
        </w:rPr>
        <w:t>dyslipidaemias</w:t>
      </w:r>
      <w:proofErr w:type="spellEnd"/>
      <w:r w:rsidRPr="000A2BC5">
        <w:rPr>
          <w:rFonts w:ascii="Times New Roman" w:hAnsi="Times New Roman"/>
          <w:lang w:val="pt-BR"/>
        </w:rPr>
        <w:t xml:space="preserve">. </w:t>
      </w:r>
      <w:proofErr w:type="spellStart"/>
      <w:r w:rsidRPr="000A2BC5">
        <w:rPr>
          <w:rFonts w:ascii="Times New Roman" w:hAnsi="Times New Roman"/>
          <w:lang w:val="pt-BR"/>
        </w:rPr>
        <w:t>Eur</w:t>
      </w:r>
      <w:proofErr w:type="spellEnd"/>
      <w:r w:rsidRPr="000A2BC5">
        <w:rPr>
          <w:rFonts w:ascii="Times New Roman" w:hAnsi="Times New Roman"/>
          <w:lang w:val="pt-BR"/>
        </w:rPr>
        <w:t xml:space="preserve"> Heart J 2011;32:1769–818.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3. Expert Panel on </w:t>
      </w:r>
      <w:proofErr w:type="spellStart"/>
      <w:r w:rsidRPr="000A2BC5">
        <w:rPr>
          <w:rFonts w:ascii="Times New Roman" w:hAnsi="Times New Roman"/>
          <w:lang w:val="pt-BR"/>
        </w:rPr>
        <w:t>Detection</w:t>
      </w:r>
      <w:proofErr w:type="spellEnd"/>
      <w:r w:rsidRPr="000A2BC5">
        <w:rPr>
          <w:rFonts w:ascii="Times New Roman" w:hAnsi="Times New Roman"/>
          <w:lang w:val="pt-BR"/>
        </w:rPr>
        <w:t xml:space="preserve">, </w:t>
      </w:r>
      <w:proofErr w:type="spellStart"/>
      <w:r w:rsidRPr="000A2BC5">
        <w:rPr>
          <w:rFonts w:ascii="Times New Roman" w:hAnsi="Times New Roman"/>
          <w:lang w:val="pt-BR"/>
        </w:rPr>
        <w:t>Evaluation</w:t>
      </w:r>
      <w:proofErr w:type="spellEnd"/>
      <w:r w:rsidRPr="000A2BC5">
        <w:rPr>
          <w:rFonts w:ascii="Times New Roman" w:hAnsi="Times New Roman"/>
          <w:lang w:val="pt-BR"/>
        </w:rPr>
        <w:t xml:space="preserve">, and </w:t>
      </w:r>
      <w:proofErr w:type="spellStart"/>
      <w:r w:rsidRPr="000A2BC5">
        <w:rPr>
          <w:rFonts w:ascii="Times New Roman" w:hAnsi="Times New Roman"/>
          <w:lang w:val="pt-BR"/>
        </w:rPr>
        <w:t>Treatment</w:t>
      </w:r>
      <w:proofErr w:type="spellEnd"/>
      <w:r w:rsidRPr="000A2BC5">
        <w:rPr>
          <w:rFonts w:ascii="Times New Roman" w:hAnsi="Times New Roman"/>
          <w:lang w:val="pt-BR"/>
        </w:rPr>
        <w:t xml:space="preserve"> of High Blood </w:t>
      </w:r>
      <w:proofErr w:type="spellStart"/>
      <w:r w:rsidRPr="000A2BC5">
        <w:rPr>
          <w:rFonts w:ascii="Times New Roman" w:hAnsi="Times New Roman"/>
          <w:lang w:val="pt-BR"/>
        </w:rPr>
        <w:t>Cholesterol</w:t>
      </w:r>
      <w:proofErr w:type="spellEnd"/>
      <w:r w:rsidRPr="000A2BC5">
        <w:rPr>
          <w:rFonts w:ascii="Times New Roman" w:hAnsi="Times New Roman"/>
          <w:lang w:val="pt-BR"/>
        </w:rPr>
        <w:t xml:space="preserve"> in Adults. Executive </w:t>
      </w:r>
      <w:proofErr w:type="spellStart"/>
      <w:r w:rsidRPr="000A2BC5">
        <w:rPr>
          <w:rFonts w:ascii="Times New Roman" w:hAnsi="Times New Roman"/>
          <w:lang w:val="pt-BR"/>
        </w:rPr>
        <w:t>Summary</w:t>
      </w:r>
      <w:proofErr w:type="spellEnd"/>
      <w:r w:rsidRPr="000A2BC5">
        <w:rPr>
          <w:rFonts w:ascii="Times New Roman" w:hAnsi="Times New Roman"/>
          <w:lang w:val="pt-BR"/>
        </w:rPr>
        <w:t xml:space="preserve"> of the </w:t>
      </w:r>
      <w:proofErr w:type="spellStart"/>
      <w:r w:rsidRPr="000A2BC5">
        <w:rPr>
          <w:rFonts w:ascii="Times New Roman" w:hAnsi="Times New Roman"/>
          <w:lang w:val="pt-BR"/>
        </w:rPr>
        <w:t>Third</w:t>
      </w:r>
      <w:proofErr w:type="spellEnd"/>
      <w:r w:rsidRPr="000A2BC5">
        <w:rPr>
          <w:rFonts w:ascii="Times New Roman" w:hAnsi="Times New Roman"/>
          <w:lang w:val="pt-BR"/>
        </w:rPr>
        <w:t xml:space="preserve"> Report of the National </w:t>
      </w:r>
      <w:proofErr w:type="spellStart"/>
      <w:r w:rsidRPr="000A2BC5">
        <w:rPr>
          <w:rFonts w:ascii="Times New Roman" w:hAnsi="Times New Roman"/>
          <w:lang w:val="pt-BR"/>
        </w:rPr>
        <w:t>Cholesterol</w:t>
      </w:r>
      <w:proofErr w:type="spellEnd"/>
      <w:r w:rsidRPr="000A2BC5">
        <w:rPr>
          <w:rFonts w:ascii="Times New Roman" w:hAnsi="Times New Roman"/>
          <w:lang w:val="pt-BR"/>
        </w:rPr>
        <w:t xml:space="preserve"> Education Program (NCEP) Expert Panel on </w:t>
      </w:r>
      <w:proofErr w:type="spellStart"/>
      <w:r w:rsidRPr="000A2BC5">
        <w:rPr>
          <w:rFonts w:ascii="Times New Roman" w:hAnsi="Times New Roman"/>
          <w:lang w:val="pt-BR"/>
        </w:rPr>
        <w:t>Detection</w:t>
      </w:r>
      <w:proofErr w:type="spellEnd"/>
      <w:r w:rsidRPr="000A2BC5">
        <w:rPr>
          <w:rFonts w:ascii="Times New Roman" w:hAnsi="Times New Roman"/>
          <w:lang w:val="pt-BR"/>
        </w:rPr>
        <w:t>. JAMA 2001;285:2486-97.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4. Expert Panel on </w:t>
      </w:r>
      <w:proofErr w:type="spellStart"/>
      <w:r w:rsidRPr="000A2BC5">
        <w:rPr>
          <w:rFonts w:ascii="Times New Roman" w:hAnsi="Times New Roman"/>
          <w:lang w:val="pt-BR"/>
        </w:rPr>
        <w:t>Detection</w:t>
      </w:r>
      <w:proofErr w:type="spellEnd"/>
      <w:r w:rsidRPr="000A2BC5">
        <w:rPr>
          <w:rFonts w:ascii="Times New Roman" w:hAnsi="Times New Roman"/>
          <w:lang w:val="pt-BR"/>
        </w:rPr>
        <w:t xml:space="preserve">, </w:t>
      </w:r>
      <w:proofErr w:type="spellStart"/>
      <w:r w:rsidRPr="000A2BC5">
        <w:rPr>
          <w:rFonts w:ascii="Times New Roman" w:hAnsi="Times New Roman"/>
          <w:lang w:val="pt-BR"/>
        </w:rPr>
        <w:t>Evaluation</w:t>
      </w:r>
      <w:proofErr w:type="spellEnd"/>
      <w:r w:rsidRPr="000A2BC5">
        <w:rPr>
          <w:rFonts w:ascii="Times New Roman" w:hAnsi="Times New Roman"/>
          <w:lang w:val="pt-BR"/>
        </w:rPr>
        <w:t xml:space="preserve">, and </w:t>
      </w:r>
      <w:proofErr w:type="spellStart"/>
      <w:r w:rsidRPr="000A2BC5">
        <w:rPr>
          <w:rFonts w:ascii="Times New Roman" w:hAnsi="Times New Roman"/>
          <w:lang w:val="pt-BR"/>
        </w:rPr>
        <w:t>Treatment</w:t>
      </w:r>
      <w:proofErr w:type="spellEnd"/>
      <w:r w:rsidRPr="000A2BC5">
        <w:rPr>
          <w:rFonts w:ascii="Times New Roman" w:hAnsi="Times New Roman"/>
          <w:lang w:val="pt-BR"/>
        </w:rPr>
        <w:t xml:space="preserve"> of High Blood </w:t>
      </w:r>
      <w:proofErr w:type="spellStart"/>
      <w:r w:rsidRPr="000A2BC5">
        <w:rPr>
          <w:rFonts w:ascii="Times New Roman" w:hAnsi="Times New Roman"/>
          <w:lang w:val="pt-BR"/>
        </w:rPr>
        <w:t>Cholesterol</w:t>
      </w:r>
      <w:proofErr w:type="spellEnd"/>
      <w:r w:rsidRPr="000A2BC5">
        <w:rPr>
          <w:rFonts w:ascii="Times New Roman" w:hAnsi="Times New Roman"/>
          <w:lang w:val="pt-BR"/>
        </w:rPr>
        <w:t xml:space="preserve"> in Adults. Executive </w:t>
      </w:r>
      <w:proofErr w:type="spellStart"/>
      <w:r w:rsidRPr="000A2BC5">
        <w:rPr>
          <w:rFonts w:ascii="Times New Roman" w:hAnsi="Times New Roman"/>
          <w:lang w:val="pt-BR"/>
        </w:rPr>
        <w:t>Summary</w:t>
      </w:r>
      <w:proofErr w:type="spellEnd"/>
      <w:r w:rsidRPr="000A2BC5">
        <w:rPr>
          <w:rFonts w:ascii="Times New Roman" w:hAnsi="Times New Roman"/>
          <w:lang w:val="pt-BR"/>
        </w:rPr>
        <w:t xml:space="preserve"> of the </w:t>
      </w:r>
      <w:proofErr w:type="spellStart"/>
      <w:r w:rsidRPr="000A2BC5">
        <w:rPr>
          <w:rFonts w:ascii="Times New Roman" w:hAnsi="Times New Roman"/>
          <w:lang w:val="pt-BR"/>
        </w:rPr>
        <w:t>Third</w:t>
      </w:r>
      <w:proofErr w:type="spellEnd"/>
      <w:r w:rsidRPr="000A2BC5">
        <w:rPr>
          <w:rFonts w:ascii="Times New Roman" w:hAnsi="Times New Roman"/>
          <w:lang w:val="pt-BR"/>
        </w:rPr>
        <w:t xml:space="preserve"> Report of the National </w:t>
      </w:r>
      <w:proofErr w:type="spellStart"/>
      <w:r w:rsidRPr="000A2BC5">
        <w:rPr>
          <w:rFonts w:ascii="Times New Roman" w:hAnsi="Times New Roman"/>
          <w:lang w:val="pt-BR"/>
        </w:rPr>
        <w:t>Cholesterol</w:t>
      </w:r>
      <w:proofErr w:type="spellEnd"/>
      <w:r w:rsidRPr="000A2BC5">
        <w:rPr>
          <w:rFonts w:ascii="Times New Roman" w:hAnsi="Times New Roman"/>
          <w:lang w:val="pt-BR"/>
        </w:rPr>
        <w:t xml:space="preserve"> Education Program (NCEP) Expert Panel on </w:t>
      </w:r>
      <w:proofErr w:type="spellStart"/>
      <w:r w:rsidRPr="000A2BC5">
        <w:rPr>
          <w:rFonts w:ascii="Times New Roman" w:hAnsi="Times New Roman"/>
          <w:lang w:val="pt-BR"/>
        </w:rPr>
        <w:t>Detection</w:t>
      </w:r>
      <w:proofErr w:type="spellEnd"/>
      <w:r w:rsidRPr="000A2BC5">
        <w:rPr>
          <w:rFonts w:ascii="Times New Roman" w:hAnsi="Times New Roman"/>
          <w:lang w:val="pt-BR"/>
        </w:rPr>
        <w:t>. JAMA 2001;285:2486-97.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5. USA Food and Drug Administration. Health claims: Soluble </w:t>
      </w:r>
      <w:proofErr w:type="spellStart"/>
      <w:r w:rsidRPr="000A2BC5">
        <w:rPr>
          <w:rFonts w:ascii="Times New Roman" w:hAnsi="Times New Roman"/>
          <w:lang w:val="pt-BR"/>
        </w:rPr>
        <w:t>fiber</w:t>
      </w:r>
      <w:proofErr w:type="spellEnd"/>
      <w:r w:rsidRPr="000A2BC5">
        <w:rPr>
          <w:rFonts w:ascii="Times New Roman" w:hAnsi="Times New Roman"/>
          <w:lang w:val="pt-BR"/>
        </w:rPr>
        <w:t xml:space="preserve"> from </w:t>
      </w:r>
      <w:proofErr w:type="spellStart"/>
      <w:r w:rsidRPr="000A2BC5">
        <w:rPr>
          <w:rFonts w:ascii="Times New Roman" w:hAnsi="Times New Roman"/>
          <w:lang w:val="pt-BR"/>
        </w:rPr>
        <w:t>certain</w:t>
      </w:r>
      <w:proofErr w:type="spellEnd"/>
      <w:r w:rsidRPr="000A2BC5">
        <w:rPr>
          <w:rFonts w:ascii="Times New Roman" w:hAnsi="Times New Roman"/>
          <w:lang w:val="pt-BR"/>
        </w:rPr>
        <w:t xml:space="preserve"> foods and the </w:t>
      </w:r>
      <w:proofErr w:type="spellStart"/>
      <w:r w:rsidRPr="000A2BC5">
        <w:rPr>
          <w:rFonts w:ascii="Times New Roman" w:hAnsi="Times New Roman"/>
          <w:lang w:val="pt-BR"/>
        </w:rPr>
        <w:t>risk</w:t>
      </w:r>
      <w:proofErr w:type="spellEnd"/>
      <w:r w:rsidRPr="000A2BC5">
        <w:rPr>
          <w:rFonts w:ascii="Times New Roman" w:hAnsi="Times New Roman"/>
          <w:lang w:val="pt-BR"/>
        </w:rPr>
        <w:t xml:space="preserve"> of </w:t>
      </w:r>
      <w:proofErr w:type="spellStart"/>
      <w:r w:rsidRPr="000A2BC5">
        <w:rPr>
          <w:rFonts w:ascii="Times New Roman" w:hAnsi="Times New Roman"/>
          <w:lang w:val="pt-BR"/>
        </w:rPr>
        <w:t>coronary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heart</w:t>
      </w:r>
      <w:proofErr w:type="spellEnd"/>
      <w:r w:rsidRPr="000A2BC5">
        <w:rPr>
          <w:rFonts w:ascii="Times New Roman" w:hAnsi="Times New Roman"/>
          <w:lang w:val="pt-BR"/>
        </w:rPr>
        <w:t xml:space="preserve"> disease (CHD). </w:t>
      </w:r>
      <w:proofErr w:type="spellStart"/>
      <w:r w:rsidRPr="000A2BC5">
        <w:rPr>
          <w:rFonts w:ascii="Times New Roman" w:hAnsi="Times New Roman"/>
          <w:lang w:val="pt-BR"/>
        </w:rPr>
        <w:t>Code</w:t>
      </w:r>
      <w:proofErr w:type="spellEnd"/>
      <w:r w:rsidRPr="000A2BC5">
        <w:rPr>
          <w:rFonts w:ascii="Times New Roman" w:hAnsi="Times New Roman"/>
          <w:lang w:val="pt-BR"/>
        </w:rPr>
        <w:t xml:space="preserve"> of Federal </w:t>
      </w:r>
      <w:proofErr w:type="spellStart"/>
      <w:r w:rsidRPr="000A2BC5">
        <w:rPr>
          <w:rFonts w:ascii="Times New Roman" w:hAnsi="Times New Roman"/>
          <w:lang w:val="pt-BR"/>
        </w:rPr>
        <w:t>Regulations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Title</w:t>
      </w:r>
      <w:proofErr w:type="spellEnd"/>
      <w:r w:rsidRPr="000A2BC5">
        <w:rPr>
          <w:rFonts w:ascii="Times New Roman" w:hAnsi="Times New Roman"/>
          <w:lang w:val="pt-BR"/>
        </w:rPr>
        <w:t xml:space="preserve"> 2; </w:t>
      </w:r>
      <w:proofErr w:type="spellStart"/>
      <w:r w:rsidRPr="000A2BC5">
        <w:rPr>
          <w:rFonts w:ascii="Times New Roman" w:hAnsi="Times New Roman"/>
          <w:lang w:val="pt-BR"/>
        </w:rPr>
        <w:t>Section</w:t>
      </w:r>
      <w:proofErr w:type="spellEnd"/>
      <w:r w:rsidRPr="000A2BC5">
        <w:rPr>
          <w:rFonts w:ascii="Times New Roman" w:hAnsi="Times New Roman"/>
          <w:lang w:val="pt-BR"/>
        </w:rPr>
        <w:t xml:space="preserve"> 101.81. www.accessdata.fda.gov/scripts/cdrh/cfdocs/cfcfr/CFRSearch.cfm?fr=101.81 </w:t>
      </w:r>
      <w:proofErr w:type="spellStart"/>
      <w:r w:rsidRPr="000A2BC5">
        <w:rPr>
          <w:rFonts w:ascii="Times New Roman" w:hAnsi="Times New Roman"/>
          <w:lang w:val="pt-BR"/>
        </w:rPr>
        <w:t>Accessed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November</w:t>
      </w:r>
      <w:proofErr w:type="spellEnd"/>
      <w:r w:rsidRPr="000A2BC5">
        <w:rPr>
          <w:rFonts w:ascii="Times New Roman" w:hAnsi="Times New Roman"/>
          <w:lang w:val="pt-BR"/>
        </w:rPr>
        <w:t xml:space="preserve"> 14, 2013.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6. EFSA Panel on Dietetic Products, Nutrition and </w:t>
      </w:r>
      <w:proofErr w:type="spellStart"/>
      <w:r w:rsidRPr="000A2BC5">
        <w:rPr>
          <w:rFonts w:ascii="Times New Roman" w:hAnsi="Times New Roman"/>
          <w:lang w:val="pt-BR"/>
        </w:rPr>
        <w:t>Allergies</w:t>
      </w:r>
      <w:proofErr w:type="spellEnd"/>
      <w:r w:rsidRPr="000A2BC5">
        <w:rPr>
          <w:rFonts w:ascii="Times New Roman" w:hAnsi="Times New Roman"/>
          <w:lang w:val="pt-BR"/>
        </w:rPr>
        <w:t xml:space="preserve"> (NDA). Scientific </w:t>
      </w:r>
      <w:proofErr w:type="spellStart"/>
      <w:r w:rsidRPr="000A2BC5">
        <w:rPr>
          <w:rFonts w:ascii="Times New Roman" w:hAnsi="Times New Roman"/>
          <w:lang w:val="pt-BR"/>
        </w:rPr>
        <w:t>Opinion</w:t>
      </w:r>
      <w:proofErr w:type="spellEnd"/>
      <w:r w:rsidRPr="000A2BC5">
        <w:rPr>
          <w:rFonts w:ascii="Times New Roman" w:hAnsi="Times New Roman"/>
          <w:lang w:val="pt-BR"/>
        </w:rPr>
        <w:t xml:space="preserve"> on the </w:t>
      </w:r>
      <w:proofErr w:type="spellStart"/>
      <w:r w:rsidRPr="000A2BC5">
        <w:rPr>
          <w:rFonts w:ascii="Times New Roman" w:hAnsi="Times New Roman"/>
          <w:lang w:val="pt-BR"/>
        </w:rPr>
        <w:t>substantiation</w:t>
      </w:r>
      <w:proofErr w:type="spellEnd"/>
      <w:r w:rsidRPr="000A2BC5">
        <w:rPr>
          <w:rFonts w:ascii="Times New Roman" w:hAnsi="Times New Roman"/>
          <w:lang w:val="pt-BR"/>
        </w:rPr>
        <w:t xml:space="preserve"> of a health claim </w:t>
      </w:r>
      <w:proofErr w:type="spellStart"/>
      <w:r w:rsidRPr="000A2BC5">
        <w:rPr>
          <w:rFonts w:ascii="Times New Roman" w:hAnsi="Times New Roman"/>
          <w:lang w:val="pt-BR"/>
        </w:rPr>
        <w:t>related</w:t>
      </w:r>
      <w:proofErr w:type="spellEnd"/>
      <w:r w:rsidRPr="000A2BC5">
        <w:rPr>
          <w:rFonts w:ascii="Times New Roman" w:hAnsi="Times New Roman"/>
          <w:lang w:val="pt-BR"/>
        </w:rPr>
        <w:t xml:space="preserve"> to </w:t>
      </w:r>
      <w:proofErr w:type="spellStart"/>
      <w:r w:rsidRPr="000A2BC5">
        <w:rPr>
          <w:rFonts w:ascii="Times New Roman" w:hAnsi="Times New Roman"/>
          <w:lang w:val="pt-BR"/>
        </w:rPr>
        <w:t>oat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beta-glucan</w:t>
      </w:r>
      <w:proofErr w:type="spellEnd"/>
      <w:r w:rsidRPr="000A2BC5">
        <w:rPr>
          <w:rFonts w:ascii="Times New Roman" w:hAnsi="Times New Roman"/>
          <w:lang w:val="pt-BR"/>
        </w:rPr>
        <w:t xml:space="preserve"> and </w:t>
      </w:r>
      <w:proofErr w:type="spellStart"/>
      <w:r w:rsidRPr="000A2BC5">
        <w:rPr>
          <w:rFonts w:ascii="Times New Roman" w:hAnsi="Times New Roman"/>
          <w:lang w:val="pt-BR"/>
        </w:rPr>
        <w:t>lowering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blood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cholesterol</w:t>
      </w:r>
      <w:proofErr w:type="spellEnd"/>
      <w:r w:rsidRPr="000A2BC5">
        <w:rPr>
          <w:rFonts w:ascii="Times New Roman" w:hAnsi="Times New Roman"/>
          <w:lang w:val="pt-BR"/>
        </w:rPr>
        <w:t xml:space="preserve"> and reduced </w:t>
      </w:r>
      <w:proofErr w:type="spellStart"/>
      <w:r w:rsidRPr="000A2BC5">
        <w:rPr>
          <w:rFonts w:ascii="Times New Roman" w:hAnsi="Times New Roman"/>
          <w:lang w:val="pt-BR"/>
        </w:rPr>
        <w:t>risk</w:t>
      </w:r>
      <w:proofErr w:type="spellEnd"/>
      <w:r w:rsidRPr="000A2BC5">
        <w:rPr>
          <w:rFonts w:ascii="Times New Roman" w:hAnsi="Times New Roman"/>
          <w:lang w:val="pt-BR"/>
        </w:rPr>
        <w:t xml:space="preserve"> of (</w:t>
      </w:r>
      <w:proofErr w:type="spellStart"/>
      <w:r w:rsidRPr="000A2BC5">
        <w:rPr>
          <w:rFonts w:ascii="Times New Roman" w:hAnsi="Times New Roman"/>
          <w:lang w:val="pt-BR"/>
        </w:rPr>
        <w:t>coronary</w:t>
      </w:r>
      <w:proofErr w:type="spellEnd"/>
      <w:r w:rsidRPr="000A2BC5">
        <w:rPr>
          <w:rFonts w:ascii="Times New Roman" w:hAnsi="Times New Roman"/>
          <w:lang w:val="pt-BR"/>
        </w:rPr>
        <w:t xml:space="preserve">) </w:t>
      </w:r>
      <w:proofErr w:type="spellStart"/>
      <w:r w:rsidRPr="000A2BC5">
        <w:rPr>
          <w:rFonts w:ascii="Times New Roman" w:hAnsi="Times New Roman"/>
          <w:lang w:val="pt-BR"/>
        </w:rPr>
        <w:t>heart</w:t>
      </w:r>
      <w:proofErr w:type="spellEnd"/>
      <w:r w:rsidRPr="000A2BC5">
        <w:rPr>
          <w:rFonts w:ascii="Times New Roman" w:hAnsi="Times New Roman"/>
          <w:lang w:val="pt-BR"/>
        </w:rPr>
        <w:t xml:space="preserve"> disease </w:t>
      </w:r>
      <w:proofErr w:type="spellStart"/>
      <w:r w:rsidRPr="000A2BC5">
        <w:rPr>
          <w:rFonts w:ascii="Times New Roman" w:hAnsi="Times New Roman"/>
          <w:lang w:val="pt-BR"/>
        </w:rPr>
        <w:t>pursuant</w:t>
      </w:r>
      <w:proofErr w:type="spellEnd"/>
      <w:r w:rsidRPr="000A2BC5">
        <w:rPr>
          <w:rFonts w:ascii="Times New Roman" w:hAnsi="Times New Roman"/>
          <w:lang w:val="pt-BR"/>
        </w:rPr>
        <w:t xml:space="preserve"> to </w:t>
      </w:r>
      <w:proofErr w:type="spellStart"/>
      <w:r w:rsidRPr="000A2BC5">
        <w:rPr>
          <w:rFonts w:ascii="Times New Roman" w:hAnsi="Times New Roman"/>
          <w:lang w:val="pt-BR"/>
        </w:rPr>
        <w:t>Article</w:t>
      </w:r>
      <w:proofErr w:type="spellEnd"/>
      <w:r w:rsidRPr="000A2BC5">
        <w:rPr>
          <w:rFonts w:ascii="Times New Roman" w:hAnsi="Times New Roman"/>
          <w:lang w:val="pt-BR"/>
        </w:rPr>
        <w:t xml:space="preserve"> 14 of </w:t>
      </w:r>
      <w:proofErr w:type="spellStart"/>
      <w:r w:rsidRPr="000A2BC5">
        <w:rPr>
          <w:rFonts w:ascii="Times New Roman" w:hAnsi="Times New Roman"/>
          <w:lang w:val="pt-BR"/>
        </w:rPr>
        <w:t>Regulation</w:t>
      </w:r>
      <w:proofErr w:type="spellEnd"/>
      <w:r w:rsidRPr="000A2BC5">
        <w:rPr>
          <w:rFonts w:ascii="Times New Roman" w:hAnsi="Times New Roman"/>
          <w:lang w:val="pt-BR"/>
        </w:rPr>
        <w:t xml:space="preserve"> (EC) No 1924/2006. EFSA Journal 2010;8:1885[15 pp.].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7. </w:t>
      </w:r>
      <w:proofErr w:type="spellStart"/>
      <w:r w:rsidRPr="000A2BC5">
        <w:rPr>
          <w:rFonts w:ascii="Times New Roman" w:hAnsi="Times New Roman"/>
          <w:lang w:val="pt-BR"/>
        </w:rPr>
        <w:t>Oat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β-glucan</w:t>
      </w:r>
      <w:proofErr w:type="spellEnd"/>
      <w:r w:rsidRPr="000A2BC5">
        <w:rPr>
          <w:rFonts w:ascii="Times New Roman" w:hAnsi="Times New Roman"/>
          <w:lang w:val="pt-BR"/>
        </w:rPr>
        <w:t xml:space="preserve">: </w:t>
      </w:r>
      <w:proofErr w:type="spellStart"/>
      <w:r w:rsidRPr="000A2BC5">
        <w:rPr>
          <w:rFonts w:ascii="Times New Roman" w:hAnsi="Times New Roman"/>
          <w:lang w:val="pt-BR"/>
        </w:rPr>
        <w:t>physico-chemical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characteristics</w:t>
      </w:r>
      <w:proofErr w:type="spellEnd"/>
      <w:r w:rsidRPr="000A2BC5">
        <w:rPr>
          <w:rFonts w:ascii="Times New Roman" w:hAnsi="Times New Roman"/>
          <w:lang w:val="pt-BR"/>
        </w:rPr>
        <w:t xml:space="preserve"> in </w:t>
      </w:r>
      <w:proofErr w:type="spellStart"/>
      <w:r w:rsidRPr="000A2BC5">
        <w:rPr>
          <w:rFonts w:ascii="Times New Roman" w:hAnsi="Times New Roman"/>
          <w:lang w:val="pt-BR"/>
        </w:rPr>
        <w:t>relation</w:t>
      </w:r>
      <w:proofErr w:type="spellEnd"/>
      <w:r w:rsidRPr="000A2BC5">
        <w:rPr>
          <w:rFonts w:ascii="Times New Roman" w:hAnsi="Times New Roman"/>
          <w:lang w:val="pt-BR"/>
        </w:rPr>
        <w:t xml:space="preserve"> to its </w:t>
      </w:r>
      <w:proofErr w:type="spellStart"/>
      <w:r w:rsidRPr="000A2BC5">
        <w:rPr>
          <w:rFonts w:ascii="Times New Roman" w:hAnsi="Times New Roman"/>
          <w:lang w:val="pt-BR"/>
        </w:rPr>
        <w:t>blood-glucose</w:t>
      </w:r>
      <w:proofErr w:type="spellEnd"/>
      <w:r w:rsidRPr="000A2BC5">
        <w:rPr>
          <w:rFonts w:ascii="Times New Roman" w:hAnsi="Times New Roman"/>
          <w:lang w:val="pt-BR"/>
        </w:rPr>
        <w:t xml:space="preserve"> and </w:t>
      </w:r>
      <w:proofErr w:type="spellStart"/>
      <w:r w:rsidRPr="000A2BC5">
        <w:rPr>
          <w:rFonts w:ascii="Times New Roman" w:hAnsi="Times New Roman"/>
          <w:lang w:val="pt-BR"/>
        </w:rPr>
        <w:t>cholesterol-lowering</w:t>
      </w:r>
      <w:proofErr w:type="spellEnd"/>
      <w:r w:rsidRPr="000A2BC5">
        <w:rPr>
          <w:rFonts w:ascii="Times New Roman" w:hAnsi="Times New Roman"/>
          <w:lang w:val="pt-BR"/>
        </w:rPr>
        <w:t xml:space="preserve"> properties. British Journal of Nutrition (2014), 112, S4–S13</w:t>
      </w:r>
    </w:p>
    <w:p w:rsidR="000A2BC5" w:rsidRPr="000A2BC5" w:rsidRDefault="000A2BC5" w:rsidP="000A2B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/>
          <w:lang w:val="pt-BR"/>
        </w:rPr>
      </w:pPr>
      <w:r w:rsidRPr="000A2BC5">
        <w:rPr>
          <w:rFonts w:ascii="Times New Roman" w:hAnsi="Times New Roman"/>
          <w:lang w:val="pt-BR"/>
        </w:rPr>
        <w:t xml:space="preserve">8. </w:t>
      </w:r>
      <w:proofErr w:type="spellStart"/>
      <w:r w:rsidRPr="000A2BC5">
        <w:rPr>
          <w:rFonts w:ascii="Times New Roman" w:hAnsi="Times New Roman"/>
          <w:lang w:val="pt-BR"/>
        </w:rPr>
        <w:t>Glycemic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response</w:t>
      </w:r>
      <w:proofErr w:type="spellEnd"/>
      <w:r w:rsidRPr="000A2BC5">
        <w:rPr>
          <w:rFonts w:ascii="Times New Roman" w:hAnsi="Times New Roman"/>
          <w:lang w:val="pt-BR"/>
        </w:rPr>
        <w:t xml:space="preserve"> to </w:t>
      </w:r>
      <w:proofErr w:type="spellStart"/>
      <w:r w:rsidRPr="000A2BC5">
        <w:rPr>
          <w:rFonts w:ascii="Times New Roman" w:hAnsi="Times New Roman"/>
          <w:lang w:val="pt-BR"/>
        </w:rPr>
        <w:t>extruded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oat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bran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cereals</w:t>
      </w:r>
      <w:proofErr w:type="spellEnd"/>
      <w:r w:rsidRPr="000A2BC5">
        <w:rPr>
          <w:rFonts w:ascii="Times New Roman" w:hAnsi="Times New Roman"/>
          <w:lang w:val="pt-BR"/>
        </w:rPr>
        <w:t xml:space="preserve"> </w:t>
      </w:r>
      <w:proofErr w:type="spellStart"/>
      <w:r w:rsidRPr="000A2BC5">
        <w:rPr>
          <w:rFonts w:ascii="Times New Roman" w:hAnsi="Times New Roman"/>
          <w:lang w:val="pt-BR"/>
        </w:rPr>
        <w:t>processed</w:t>
      </w:r>
      <w:proofErr w:type="spellEnd"/>
      <w:r w:rsidRPr="000A2BC5">
        <w:rPr>
          <w:rFonts w:ascii="Times New Roman" w:hAnsi="Times New Roman"/>
          <w:lang w:val="pt-BR"/>
        </w:rPr>
        <w:t xml:space="preserve"> to </w:t>
      </w:r>
      <w:proofErr w:type="spellStart"/>
      <w:r w:rsidRPr="000A2BC5">
        <w:rPr>
          <w:rFonts w:ascii="Times New Roman" w:hAnsi="Times New Roman"/>
          <w:lang w:val="pt-BR"/>
        </w:rPr>
        <w:t>vary</w:t>
      </w:r>
      <w:proofErr w:type="spellEnd"/>
      <w:r w:rsidRPr="000A2BC5">
        <w:rPr>
          <w:rFonts w:ascii="Times New Roman" w:hAnsi="Times New Roman"/>
          <w:lang w:val="pt-BR"/>
        </w:rPr>
        <w:t xml:space="preserve"> in molecular </w:t>
      </w:r>
      <w:proofErr w:type="spellStart"/>
      <w:r w:rsidRPr="000A2BC5">
        <w:rPr>
          <w:rFonts w:ascii="Times New Roman" w:hAnsi="Times New Roman"/>
          <w:lang w:val="pt-BR"/>
        </w:rPr>
        <w:t>weight</w:t>
      </w:r>
      <w:proofErr w:type="spellEnd"/>
      <w:r w:rsidRPr="000A2BC5">
        <w:rPr>
          <w:rFonts w:ascii="Times New Roman" w:hAnsi="Times New Roman"/>
          <w:lang w:val="pt-BR"/>
        </w:rPr>
        <w:t>. Cereal Chemistry (2012), 89, 255–261.</w:t>
      </w:r>
    </w:p>
    <w:p w:rsidR="000A2BC5" w:rsidRDefault="000A2BC5" w:rsidP="000A2BC5">
      <w:pPr>
        <w:rPr>
          <w:lang w:val="pt-BR"/>
        </w:rPr>
      </w:pPr>
    </w:p>
    <w:p w:rsidR="00AE5022" w:rsidRPr="00D505E5" w:rsidRDefault="00AE5022" w:rsidP="00AE5022">
      <w:pPr>
        <w:jc w:val="both"/>
        <w:rPr>
          <w:rFonts w:ascii="Times New Roman" w:hAnsi="Times New Roman"/>
          <w:b/>
          <w:sz w:val="22"/>
        </w:rPr>
      </w:pPr>
      <w:r w:rsidRPr="00D505E5">
        <w:rPr>
          <w:rFonts w:ascii="Times New Roman" w:hAnsi="Times New Roman"/>
          <w:b/>
          <w:sz w:val="22"/>
        </w:rPr>
        <w:t>DSM Nutritional Products</w:t>
      </w:r>
    </w:p>
    <w:p w:rsidR="00AE5022" w:rsidRPr="00D505E5" w:rsidRDefault="00AE5022" w:rsidP="00AE5022">
      <w:pPr>
        <w:jc w:val="both"/>
        <w:rPr>
          <w:rFonts w:ascii="Times New Roman" w:hAnsi="Times New Roman"/>
          <w:sz w:val="22"/>
          <w:lang w:val="it-IT"/>
        </w:rPr>
      </w:pPr>
      <w:r>
        <w:rPr>
          <w:rFonts w:ascii="Times New Roman" w:hAnsi="Times New Roman"/>
          <w:sz w:val="22"/>
          <w:lang w:val="it-IT"/>
        </w:rPr>
        <w:t>Tel: (11) 3760-63</w:t>
      </w:r>
      <w:r w:rsidRPr="00D505E5">
        <w:rPr>
          <w:rFonts w:ascii="Times New Roman" w:hAnsi="Times New Roman"/>
          <w:sz w:val="22"/>
          <w:lang w:val="it-IT"/>
        </w:rPr>
        <w:t>00</w:t>
      </w:r>
    </w:p>
    <w:p w:rsidR="00AE5022" w:rsidRPr="00D505E5" w:rsidRDefault="00AE5022" w:rsidP="00AE5022">
      <w:pPr>
        <w:jc w:val="both"/>
        <w:rPr>
          <w:rFonts w:ascii="Times New Roman" w:hAnsi="Times New Roman"/>
          <w:i/>
          <w:color w:val="0070C0"/>
          <w:sz w:val="22"/>
          <w:lang w:val="it-IT"/>
        </w:rPr>
      </w:pPr>
      <w:r>
        <w:rPr>
          <w:rFonts w:ascii="Times New Roman" w:hAnsi="Times New Roman"/>
          <w:i/>
          <w:color w:val="0070C0"/>
          <w:sz w:val="22"/>
          <w:lang w:val="it-IT"/>
        </w:rPr>
        <w:t>www.dsm.com</w:t>
      </w:r>
    </w:p>
    <w:p w:rsidR="000A2BC5" w:rsidRPr="00AE5022" w:rsidRDefault="000A2BC5" w:rsidP="000A2BC5">
      <w:pPr>
        <w:spacing w:line="240" w:lineRule="auto"/>
        <w:jc w:val="both"/>
        <w:rPr>
          <w:rFonts w:ascii="Times New Roman" w:eastAsiaTheme="minorEastAsia" w:hAnsi="Times New Roman"/>
          <w:i/>
          <w:color w:val="0070C0"/>
          <w:sz w:val="22"/>
          <w:szCs w:val="22"/>
          <w:lang w:val="pt-BR" w:eastAsia="zh-CN"/>
        </w:rPr>
      </w:pPr>
      <w:r w:rsidRPr="00AE5022">
        <w:rPr>
          <w:rFonts w:ascii="Times New Roman" w:eastAsiaTheme="minorEastAsia" w:hAnsi="Times New Roman"/>
          <w:i/>
          <w:color w:val="0070C0"/>
          <w:sz w:val="22"/>
          <w:szCs w:val="22"/>
          <w:lang w:val="pt-BR" w:eastAsia="zh-CN"/>
        </w:rPr>
        <w:t>www.friendoatwell.ch/en</w:t>
      </w:r>
    </w:p>
    <w:p w:rsidR="00540847" w:rsidRDefault="00540847"/>
    <w:sectPr w:rsidR="00540847" w:rsidSect="00540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778"/>
    <w:multiLevelType w:val="multilevel"/>
    <w:tmpl w:val="570499A8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0" w:firstLine="0"/>
      </w:pPr>
      <w:rPr>
        <w:b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0" w:firstLine="0"/>
      </w:pPr>
      <w:rPr>
        <w:b/>
        <w:i w:val="0"/>
        <w:sz w:val="22"/>
        <w:szCs w:val="22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0" w:firstLine="0"/>
      </w:pPr>
      <w:rPr>
        <w:b/>
        <w:i w:val="0"/>
        <w:sz w:val="22"/>
        <w:szCs w:val="22"/>
      </w:rPr>
    </w:lvl>
    <w:lvl w:ilvl="7">
      <w:start w:val="1"/>
      <w:numFmt w:val="decimal"/>
      <w:pStyle w:val="Ttulo8"/>
      <w:suff w:val="space"/>
      <w:lvlText w:val="%1.%2.%3.%4.%5.%6.%7.%8."/>
      <w:lvlJc w:val="left"/>
      <w:pPr>
        <w:ind w:left="0" w:firstLine="0"/>
      </w:pPr>
      <w:rPr>
        <w:b/>
        <w:i w:val="0"/>
        <w:sz w:val="22"/>
        <w:szCs w:val="22"/>
      </w:rPr>
    </w:lvl>
    <w:lvl w:ilvl="8">
      <w:start w:val="1"/>
      <w:numFmt w:val="decimal"/>
      <w:pStyle w:val="Ttulo9"/>
      <w:suff w:val="space"/>
      <w:lvlText w:val="%1.%2.%3.%4.%5.%6.%7.%8.%9."/>
      <w:lvlJc w:val="left"/>
      <w:pPr>
        <w:ind w:left="0" w:firstLine="0"/>
      </w:pPr>
      <w:rPr>
        <w:b/>
        <w:i w:val="0"/>
        <w:sz w:val="22"/>
        <w:szCs w:val="22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2BC5"/>
    <w:rsid w:val="000A2BC5"/>
    <w:rsid w:val="00540847"/>
    <w:rsid w:val="005754E2"/>
    <w:rsid w:val="00AE5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C5"/>
    <w:pPr>
      <w:adjustRightInd w:val="0"/>
      <w:snapToGrid w:val="0"/>
      <w:spacing w:line="240" w:lineRule="atLeast"/>
      <w:jc w:val="left"/>
    </w:pPr>
    <w:rPr>
      <w:rFonts w:ascii="Trebuchet MS" w:eastAsia="SimSun" w:hAnsi="Trebuchet MS" w:cs="Times New Roman"/>
      <w:sz w:val="20"/>
      <w:szCs w:val="24"/>
      <w:lang w:val="en-US" w:eastAsia="de-CH"/>
    </w:rPr>
  </w:style>
  <w:style w:type="paragraph" w:styleId="Ttulo1">
    <w:name w:val="heading 1"/>
    <w:basedOn w:val="Normal"/>
    <w:next w:val="Normal"/>
    <w:link w:val="Ttulo1Char"/>
    <w:autoRedefine/>
    <w:qFormat/>
    <w:rsid w:val="000A2BC5"/>
    <w:pPr>
      <w:keepNext/>
      <w:keepLines/>
      <w:numPr>
        <w:numId w:val="1"/>
      </w:numPr>
      <w:outlineLvl w:val="0"/>
    </w:pPr>
    <w:rPr>
      <w:rFonts w:eastAsia="Times New Roman" w:cs="Arial"/>
      <w:b/>
      <w:bCs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A2BC5"/>
    <w:pPr>
      <w:keepNext/>
      <w:keepLines/>
      <w:numPr>
        <w:ilvl w:val="1"/>
        <w:numId w:val="1"/>
      </w:numPr>
      <w:outlineLvl w:val="1"/>
    </w:pPr>
    <w:rPr>
      <w:rFonts w:eastAsia="Times New Roman" w:cs="Arial"/>
      <w:b/>
      <w:bCs/>
      <w:iCs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A2BC5"/>
    <w:pPr>
      <w:keepNext/>
      <w:keepLines/>
      <w:numPr>
        <w:ilvl w:val="2"/>
        <w:numId w:val="1"/>
      </w:numPr>
      <w:outlineLvl w:val="2"/>
    </w:pPr>
    <w:rPr>
      <w:rFonts w:eastAsia="Times New Roman" w:cs="Arial"/>
      <w:b/>
      <w:bCs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A2BC5"/>
    <w:pPr>
      <w:keepNext/>
      <w:keepLines/>
      <w:numPr>
        <w:ilvl w:val="3"/>
        <w:numId w:val="1"/>
      </w:numPr>
      <w:outlineLvl w:val="3"/>
    </w:pPr>
    <w:rPr>
      <w:rFonts w:eastAsia="Times New Roman"/>
      <w:b/>
      <w:bCs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A2BC5"/>
    <w:pPr>
      <w:keepNext/>
      <w:keepLines/>
      <w:numPr>
        <w:ilvl w:val="4"/>
        <w:numId w:val="1"/>
      </w:numPr>
      <w:outlineLvl w:val="4"/>
    </w:pPr>
    <w:rPr>
      <w:rFonts w:eastAsia="Times New Roman"/>
      <w:b/>
      <w:bCs/>
      <w:iCs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0A2BC5"/>
    <w:pPr>
      <w:keepNext/>
      <w:keepLines/>
      <w:numPr>
        <w:ilvl w:val="5"/>
        <w:numId w:val="1"/>
      </w:numPr>
      <w:outlineLvl w:val="5"/>
    </w:pPr>
    <w:rPr>
      <w:rFonts w:eastAsia="Times New Roman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0A2BC5"/>
    <w:pPr>
      <w:keepNext/>
      <w:keepLines/>
      <w:numPr>
        <w:ilvl w:val="6"/>
        <w:numId w:val="1"/>
      </w:numPr>
      <w:outlineLvl w:val="6"/>
    </w:pPr>
    <w:rPr>
      <w:b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0A2BC5"/>
    <w:pPr>
      <w:keepNext/>
      <w:keepLines/>
      <w:numPr>
        <w:ilvl w:val="7"/>
        <w:numId w:val="1"/>
      </w:numPr>
      <w:outlineLvl w:val="7"/>
    </w:pPr>
    <w:rPr>
      <w:b/>
      <w:iCs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0A2BC5"/>
    <w:pPr>
      <w:keepNext/>
      <w:keepLines/>
      <w:numPr>
        <w:ilvl w:val="8"/>
        <w:numId w:val="1"/>
      </w:numPr>
      <w:outlineLvl w:val="8"/>
    </w:pPr>
    <w:rPr>
      <w:rFonts w:cs="Arial"/>
      <w:b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2BC5"/>
    <w:rPr>
      <w:rFonts w:ascii="Trebuchet MS" w:eastAsia="Times New Roman" w:hAnsi="Trebuchet MS" w:cs="Arial"/>
      <w:b/>
      <w:bCs/>
      <w:sz w:val="20"/>
      <w:szCs w:val="32"/>
      <w:lang w:val="en-US" w:eastAsia="de-CH"/>
    </w:rPr>
  </w:style>
  <w:style w:type="character" w:customStyle="1" w:styleId="Ttulo2Char">
    <w:name w:val="Título 2 Char"/>
    <w:basedOn w:val="Fontepargpadro"/>
    <w:link w:val="Ttulo2"/>
    <w:semiHidden/>
    <w:rsid w:val="000A2BC5"/>
    <w:rPr>
      <w:rFonts w:ascii="Trebuchet MS" w:eastAsia="Times New Roman" w:hAnsi="Trebuchet MS" w:cs="Arial"/>
      <w:b/>
      <w:bCs/>
      <w:iCs/>
      <w:sz w:val="20"/>
      <w:szCs w:val="28"/>
      <w:lang w:val="en-US" w:eastAsia="de-CH"/>
    </w:rPr>
  </w:style>
  <w:style w:type="character" w:customStyle="1" w:styleId="Ttulo3Char">
    <w:name w:val="Título 3 Char"/>
    <w:basedOn w:val="Fontepargpadro"/>
    <w:link w:val="Ttulo3"/>
    <w:semiHidden/>
    <w:rsid w:val="000A2BC5"/>
    <w:rPr>
      <w:rFonts w:ascii="Trebuchet MS" w:eastAsia="Times New Roman" w:hAnsi="Trebuchet MS" w:cs="Arial"/>
      <w:b/>
      <w:bCs/>
      <w:sz w:val="20"/>
      <w:szCs w:val="26"/>
      <w:lang w:val="en-US" w:eastAsia="de-CH"/>
    </w:rPr>
  </w:style>
  <w:style w:type="character" w:customStyle="1" w:styleId="Ttulo4Char">
    <w:name w:val="Título 4 Char"/>
    <w:basedOn w:val="Fontepargpadro"/>
    <w:link w:val="Ttulo4"/>
    <w:semiHidden/>
    <w:rsid w:val="000A2BC5"/>
    <w:rPr>
      <w:rFonts w:ascii="Trebuchet MS" w:eastAsia="Times New Roman" w:hAnsi="Trebuchet MS" w:cs="Times New Roman"/>
      <w:b/>
      <w:bCs/>
      <w:sz w:val="20"/>
      <w:szCs w:val="28"/>
      <w:lang w:val="en-US" w:eastAsia="de-CH"/>
    </w:rPr>
  </w:style>
  <w:style w:type="character" w:customStyle="1" w:styleId="Ttulo5Char">
    <w:name w:val="Título 5 Char"/>
    <w:basedOn w:val="Fontepargpadro"/>
    <w:link w:val="Ttulo5"/>
    <w:semiHidden/>
    <w:rsid w:val="000A2BC5"/>
    <w:rPr>
      <w:rFonts w:ascii="Trebuchet MS" w:eastAsia="Times New Roman" w:hAnsi="Trebuchet MS" w:cs="Times New Roman"/>
      <w:b/>
      <w:bCs/>
      <w:iCs/>
      <w:sz w:val="20"/>
      <w:szCs w:val="26"/>
      <w:lang w:val="en-US" w:eastAsia="de-CH"/>
    </w:rPr>
  </w:style>
  <w:style w:type="character" w:customStyle="1" w:styleId="Ttulo6Char">
    <w:name w:val="Título 6 Char"/>
    <w:basedOn w:val="Fontepargpadro"/>
    <w:link w:val="Ttulo6"/>
    <w:semiHidden/>
    <w:rsid w:val="000A2BC5"/>
    <w:rPr>
      <w:rFonts w:ascii="Trebuchet MS" w:eastAsia="Times New Roman" w:hAnsi="Trebuchet MS" w:cs="Times New Roman"/>
      <w:b/>
      <w:bCs/>
      <w:sz w:val="20"/>
      <w:lang w:val="en-US" w:eastAsia="de-CH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0A2BC5"/>
    <w:rPr>
      <w:rFonts w:ascii="Trebuchet MS" w:eastAsia="SimSun" w:hAnsi="Trebuchet MS" w:cs="Times New Roman"/>
      <w:b/>
      <w:sz w:val="20"/>
      <w:szCs w:val="24"/>
      <w:lang w:val="en-US" w:eastAsia="de-CH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0A2BC5"/>
    <w:rPr>
      <w:rFonts w:ascii="Trebuchet MS" w:eastAsia="SimSun" w:hAnsi="Trebuchet MS" w:cs="Times New Roman"/>
      <w:b/>
      <w:iCs/>
      <w:sz w:val="20"/>
      <w:szCs w:val="24"/>
      <w:lang w:val="en-US" w:eastAsia="de-CH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0A2BC5"/>
    <w:rPr>
      <w:rFonts w:ascii="Trebuchet MS" w:eastAsia="SimSun" w:hAnsi="Trebuchet MS" w:cs="Arial"/>
      <w:b/>
      <w:sz w:val="20"/>
      <w:lang w:val="en-US" w:eastAsia="de-CH"/>
    </w:rPr>
  </w:style>
  <w:style w:type="character" w:styleId="Hyperlink">
    <w:name w:val="Hyperlink"/>
    <w:semiHidden/>
    <w:unhideWhenUsed/>
    <w:rsid w:val="000A2BC5"/>
    <w:rPr>
      <w:color w:val="auto"/>
      <w:u w:val="single"/>
      <w:vertAlign w:val="baseline"/>
      <w:lang w:val="en-US"/>
    </w:rPr>
  </w:style>
  <w:style w:type="paragraph" w:styleId="NormalWeb">
    <w:name w:val="Normal (Web)"/>
    <w:basedOn w:val="Normal"/>
    <w:uiPriority w:val="99"/>
    <w:semiHidden/>
    <w:unhideWhenUsed/>
    <w:rsid w:val="000A2BC5"/>
  </w:style>
  <w:style w:type="paragraph" w:customStyle="1" w:styleId="Subject">
    <w:name w:val="Subject"/>
    <w:basedOn w:val="Normal"/>
    <w:uiPriority w:val="99"/>
    <w:rsid w:val="000A2BC5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928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Insumos</dc:creator>
  <cp:lastModifiedBy>Marcia Insumos</cp:lastModifiedBy>
  <cp:revision>2</cp:revision>
  <dcterms:created xsi:type="dcterms:W3CDTF">2014-11-24T12:35:00Z</dcterms:created>
  <dcterms:modified xsi:type="dcterms:W3CDTF">2014-11-24T12:42:00Z</dcterms:modified>
</cp:coreProperties>
</file>